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wmf" ContentType="image/x-wmf"/>
  <Override PartName="/word/media/image2.jpeg" ContentType="image/jpeg"/>
  <Override PartName="/word/media/image3.png" ContentType="image/png"/>
  <Override PartName="/word/media/image4.png" ContentType="image/png"/>
  <Override PartName="/word/media/image5.png" ContentType="image/png"/>
  <Override PartName="/word/media/image6.png" ContentType="image/png"/>
  <Override PartName="/word/footer4.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_rels/chart3.xml.rels" ContentType="application/vnd.openxmlformats-package.relationships+xml"/>
  <Override PartName="/word/charts/_rels/chart4.xml.rels" ContentType="application/vnd.openxmlformats-package.relationships+xml"/>
  <Override PartName="/word/header1.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embeddings/Microsoft_Excel_Worksheet.xlsx" ContentType="application/vnd.openxmlformats-officedocument.spreadsheetml.sheet"/>
  <Override PartName="/word/embeddings/Microsoft_Excel_Worksheet1.xlsx" ContentType="application/vnd.openxmlformats-officedocument.spreadsheetml.sheet"/>
  <Override PartName="/word/_rels/document.xml.rels" ContentType="application/vnd.openxmlformats-package.relationships+xml"/>
  <Override PartName="/word/_rels/footnotes.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officedocument/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lineRule="auto" w:line="240"/>
        <w:jc w:val="center"/>
        <w:rPr>
          <w:rFonts w:ascii="Tahoma" w:hAnsi="Tahoma" w:cs="Tahoma"/>
          <w:sz w:val="24"/>
          <w:szCs w:val="28"/>
          <w:highlight w:val="lightGray"/>
          <w:lang w:val="sr-Latn-RS"/>
        </w:rPr>
      </w:pPr>
      <w:r>
        <w:rPr>
          <w:rFonts w:cs="Tahoma" w:ascii="Tahoma" w:hAnsi="Tahoma"/>
          <w:sz w:val="24"/>
          <w:szCs w:val="28"/>
          <w:highlight w:val="lightGray"/>
          <w:lang w:val="sr-Latn-RS"/>
        </w:rPr>
        <w:t xml:space="preserve"> </w:t>
      </w:r>
    </w:p>
    <w:p>
      <w:pPr>
        <w:pStyle w:val="Normal"/>
        <w:spacing w:lineRule="auto" w:line="240"/>
        <w:jc w:val="center"/>
        <w:rPr>
          <w:rFonts w:ascii="Tahoma" w:hAnsi="Tahoma" w:cs="Tahoma"/>
          <w:b/>
          <w:b/>
          <w:sz w:val="28"/>
          <w:szCs w:val="28"/>
          <w:lang w:val="sr-RS"/>
        </w:rPr>
      </w:pPr>
      <w:r>
        <w:rPr>
          <w:rFonts w:cs="Tahoma" w:ascii="Tahoma" w:hAnsi="Tahoma"/>
          <w:b/>
          <w:sz w:val="28"/>
          <w:szCs w:val="28"/>
          <w:lang w:val="sr-RS"/>
        </w:rPr>
        <w:t>ОПШТИНА БЕОЧИН</w:t>
      </w:r>
    </w:p>
    <w:p>
      <w:pPr>
        <w:pStyle w:val="Normal"/>
        <w:spacing w:lineRule="auto" w:line="240"/>
        <w:jc w:val="center"/>
        <w:rPr>
          <w:rFonts w:ascii="Tahoma" w:hAnsi="Tahoma" w:cs="Tahoma"/>
          <w:b/>
          <w:b/>
          <w:sz w:val="28"/>
          <w:szCs w:val="28"/>
          <w:lang w:val="sr-RS"/>
        </w:rPr>
      </w:pPr>
      <w:r>
        <w:rPr>
          <w:rFonts w:cs="Tahoma" w:ascii="Tahoma" w:hAnsi="Tahoma"/>
          <w:b/>
          <w:sz w:val="28"/>
          <w:szCs w:val="28"/>
          <w:lang w:val="sr-RS"/>
        </w:rPr>
      </w:r>
    </w:p>
    <w:p>
      <w:pPr>
        <w:pStyle w:val="Normal"/>
        <w:spacing w:lineRule="auto" w:line="240" w:beforeAutospacing="1" w:afterAutospacing="1"/>
        <w:jc w:val="center"/>
        <w:rPr>
          <w:rFonts w:ascii="Times New Roman" w:hAnsi="Times New Roman" w:eastAsia="Times New Roman" w:cs="Times New Roman"/>
          <w:kern w:val="0"/>
          <w:sz w:val="24"/>
          <w:szCs w:val="24"/>
          <w:lang w:val="sr-Latn-RS" w:eastAsia="sr-Latn-RS"/>
          <w14:ligatures w14:val="none"/>
        </w:rPr>
      </w:pPr>
      <w:r>
        <w:rPr/>
        <w:drawing>
          <wp:inline distT="0" distB="0" distL="0" distR="0">
            <wp:extent cx="1657350" cy="1942465"/>
            <wp:effectExtent l="0" t="0" r="0" b="0"/>
            <wp:docPr id="1" name="Picture 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 title=""/>
                    <pic:cNvPicPr>
                      <a:picLocks noChangeAspect="1" noChangeArrowheads="1"/>
                    </pic:cNvPicPr>
                  </pic:nvPicPr>
                  <pic:blipFill>
                    <a:blip r:embed="rId2"/>
                    <a:stretch>
                      <a:fillRect/>
                    </a:stretch>
                  </pic:blipFill>
                  <pic:spPr bwMode="auto">
                    <a:xfrm>
                      <a:off x="0" y="0"/>
                      <a:ext cx="1657350" cy="1942465"/>
                    </a:xfrm>
                    <a:prstGeom prst="rect">
                      <a:avLst/>
                    </a:prstGeom>
                  </pic:spPr>
                </pic:pic>
              </a:graphicData>
            </a:graphic>
          </wp:inline>
        </w:drawing>
      </w:r>
    </w:p>
    <w:p>
      <w:pPr>
        <w:pStyle w:val="Normal"/>
        <w:spacing w:lineRule="auto" w:line="240"/>
        <w:jc w:val="center"/>
        <w:rPr>
          <w:rFonts w:ascii="Tahoma" w:hAnsi="Tahoma" w:cs="Tahoma"/>
          <w:b/>
          <w:b/>
          <w:sz w:val="48"/>
          <w:szCs w:val="40"/>
          <w:lang w:val="sr-RS"/>
        </w:rPr>
      </w:pPr>
      <w:r>
        <w:rPr>
          <w:rFonts w:cs="Tahoma" w:ascii="Tahoma" w:hAnsi="Tahoma"/>
          <w:b/>
          <w:sz w:val="48"/>
          <w:szCs w:val="40"/>
          <w:lang w:val="sr-RS"/>
        </w:rPr>
        <w:t>Програм унапређења социјалне заштите у општини Беочин за период од 2025. до 2030. године</w:t>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t>Беочин, Јануар 2025. године</w:t>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p>
      <w:pPr>
        <w:pStyle w:val="Normal"/>
        <w:spacing w:lineRule="auto" w:line="240"/>
        <w:jc w:val="center"/>
        <w:rPr>
          <w:rFonts w:ascii="Tahoma" w:hAnsi="Tahoma" w:cs="Tahoma"/>
          <w:sz w:val="20"/>
          <w:lang w:val="sr-RS"/>
        </w:rPr>
      </w:pPr>
      <w:r>
        <w:rPr>
          <w:rFonts w:cs="Tahoma" w:ascii="Tahoma" w:hAnsi="Tahoma"/>
          <w:sz w:val="20"/>
          <w:lang w:val="sr-RS"/>
        </w:rPr>
      </w:r>
    </w:p>
    <w:sdt>
      <w:sdtPr>
        <w:docPartObj>
          <w:docPartGallery w:val="Table of Contents"/>
          <w:docPartUnique w:val="true"/>
        </w:docPartObj>
      </w:sdtPr>
      <w:sdtContent>
        <w:p>
          <w:pPr>
            <w:pStyle w:val="TOCHeading"/>
            <w:spacing w:lineRule="auto" w:line="240" w:before="0" w:after="0"/>
            <w:rPr>
              <w:rFonts w:ascii="Tahoma" w:hAnsi="Tahoma" w:cs="Tahoma"/>
              <w:sz w:val="24"/>
              <w:lang w:val="sr-RS"/>
            </w:rPr>
          </w:pPr>
          <w:r>
            <w:rPr>
              <w:rFonts w:cs="Tahoma" w:ascii="Tahoma" w:hAnsi="Tahoma"/>
              <w:sz w:val="24"/>
              <w:lang w:val="sr-RS"/>
            </w:rPr>
            <w:t>Садржај</w:t>
          </w:r>
        </w:p>
        <w:p>
          <w:pPr>
            <w:pStyle w:val="Normal"/>
            <w:spacing w:lineRule="auto" w:line="240" w:before="0" w:after="0"/>
            <w:rPr>
              <w:rFonts w:ascii="Tahoma" w:hAnsi="Tahoma" w:cs="Tahoma"/>
              <w:sz w:val="18"/>
              <w:szCs w:val="20"/>
              <w:lang w:val="sr-RS"/>
            </w:rPr>
          </w:pPr>
          <w:r>
            <w:rPr>
              <w:rFonts w:cs="Tahoma" w:ascii="Tahoma" w:hAnsi="Tahoma"/>
              <w:sz w:val="18"/>
              <w:szCs w:val="20"/>
              <w:lang w:val="sr-RS"/>
            </w:rPr>
          </w:r>
        </w:p>
        <w:p>
          <w:pPr>
            <w:pStyle w:val="Contents1"/>
            <w:tabs>
              <w:tab w:val="clear" w:pos="720"/>
              <w:tab w:val="right" w:pos="9350" w:leader="dot"/>
            </w:tabs>
            <w:spacing w:before="0" w:after="0"/>
            <w:rPr>
              <w:rFonts w:eastAsia="DejaVu Sans" w:eastAsiaTheme="minorEastAsia"/>
              <w:kern w:val="0"/>
              <w:lang w:val="sr-Latn-RS" w:eastAsia="sr-Latn-RS"/>
              <w14:ligatures w14:val="none"/>
            </w:rPr>
          </w:pPr>
          <w:r>
            <w:fldChar w:fldCharType="begin"/>
          </w:r>
          <w:r>
            <w:rPr>
              <w:webHidden/>
              <w:rStyle w:val="IndexLink"/>
              <w:b/>
              <w:vanish w:val="false"/>
              <w:rFonts w:cs="Tahoma" w:ascii="Tahoma" w:hAnsi="Tahoma"/>
              <w:lang w:val="sr-RS"/>
            </w:rPr>
            <w:instrText> TOC \z \o "1-3" \u \h</w:instrText>
          </w:r>
          <w:r>
            <w:rPr>
              <w:webHidden/>
              <w:rStyle w:val="IndexLink"/>
              <w:b/>
              <w:vanish w:val="false"/>
              <w:rFonts w:cs="Tahoma" w:ascii="Tahoma" w:hAnsi="Tahoma"/>
              <w:lang w:val="sr-RS"/>
            </w:rPr>
            <w:fldChar w:fldCharType="separate"/>
          </w:r>
          <w:hyperlink w:anchor="_Toc188876937">
            <w:r>
              <w:rPr>
                <w:webHidden/>
                <w:rStyle w:val="IndexLink"/>
                <w:rFonts w:cs="Tahoma" w:ascii="Tahoma" w:hAnsi="Tahoma"/>
                <w:b/>
                <w:vanish w:val="false"/>
                <w:lang w:val="sr-RS"/>
              </w:rPr>
              <w:t>Уводна реч Председнице општине</w:t>
            </w:r>
            <w:r>
              <w:rPr>
                <w:webHidden/>
              </w:rPr>
              <w:fldChar w:fldCharType="begin"/>
            </w:r>
            <w:r>
              <w:rPr>
                <w:webHidden/>
              </w:rPr>
              <w:instrText>PAGEREF _Toc188876937 \h</w:instrText>
            </w:r>
            <w:r>
              <w:rPr>
                <w:webHidden/>
              </w:rPr>
              <w:fldChar w:fldCharType="separate"/>
            </w:r>
            <w:r>
              <w:rPr>
                <w:rStyle w:val="IndexLink"/>
                <w:vanish w:val="false"/>
              </w:rPr>
              <w:tab/>
              <w:t>4</w:t>
            </w:r>
            <w:r>
              <w:rPr>
                <w:webHidden/>
              </w:rPr>
              <w:fldChar w:fldCharType="end"/>
            </w:r>
          </w:hyperlink>
        </w:p>
        <w:p>
          <w:pPr>
            <w:pStyle w:val="Contents1"/>
            <w:tabs>
              <w:tab w:val="clear" w:pos="720"/>
              <w:tab w:val="left" w:pos="440" w:leader="none"/>
              <w:tab w:val="right" w:pos="9350" w:leader="dot"/>
            </w:tabs>
            <w:spacing w:before="0" w:after="0"/>
            <w:rPr>
              <w:rFonts w:eastAsia="DejaVu Sans" w:eastAsiaTheme="minorEastAsia"/>
              <w:kern w:val="0"/>
              <w:lang w:val="sr-Latn-RS" w:eastAsia="sr-Latn-RS"/>
              <w14:ligatures w14:val="none"/>
            </w:rPr>
          </w:pPr>
          <w:hyperlink w:anchor="_Toc188876938">
            <w:r>
              <w:rPr>
                <w:webHidden/>
                <w:rStyle w:val="IndexLink"/>
                <w:rFonts w:cs="Tahoma" w:ascii="Tahoma" w:hAnsi="Tahoma"/>
                <w:b/>
                <w:vanish w:val="false"/>
                <w:lang w:val="sr-RS"/>
              </w:rPr>
              <w:t>1.</w:t>
            </w:r>
            <w:r>
              <w:rPr>
                <w:rStyle w:val="IndexLink"/>
                <w:rFonts w:eastAsia="DejaVu Sans" w:eastAsiaTheme="minorEastAsia"/>
                <w:kern w:val="0"/>
                <w:lang w:val="sr-Latn-RS" w:eastAsia="sr-Latn-RS"/>
                <w14:ligatures w14:val="none"/>
              </w:rPr>
              <w:tab/>
            </w:r>
            <w:r>
              <w:rPr>
                <w:rStyle w:val="IndexLink"/>
                <w:rFonts w:cs="Tahoma" w:ascii="Tahoma" w:hAnsi="Tahoma"/>
                <w:b/>
                <w:lang w:val="sr-RS"/>
              </w:rPr>
              <w:t>Увод</w:t>
            </w:r>
            <w:r>
              <w:rPr>
                <w:webHidden/>
              </w:rPr>
              <w:fldChar w:fldCharType="begin"/>
            </w:r>
            <w:r>
              <w:rPr>
                <w:webHidden/>
              </w:rPr>
              <w:instrText>PAGEREF _Toc188876938 \h</w:instrText>
            </w:r>
            <w:r>
              <w:rPr>
                <w:webHidden/>
              </w:rPr>
              <w:fldChar w:fldCharType="separate"/>
            </w:r>
            <w:r>
              <w:rPr>
                <w:rStyle w:val="IndexLink"/>
                <w:vanish w:val="false"/>
              </w:rPr>
              <w:tab/>
              <w:t>5</w:t>
            </w:r>
            <w:r>
              <w:rPr>
                <w:webHidden/>
              </w:rPr>
              <w:fldChar w:fldCharType="end"/>
            </w:r>
          </w:hyperlink>
        </w:p>
        <w:p>
          <w:pPr>
            <w:pStyle w:val="Contents1"/>
            <w:tabs>
              <w:tab w:val="clear" w:pos="720"/>
              <w:tab w:val="left" w:pos="440" w:leader="none"/>
              <w:tab w:val="right" w:pos="9350" w:leader="dot"/>
            </w:tabs>
            <w:spacing w:before="0" w:after="0"/>
            <w:rPr>
              <w:rFonts w:eastAsia="DejaVu Sans" w:eastAsiaTheme="minorEastAsia"/>
              <w:kern w:val="0"/>
              <w:lang w:val="sr-Latn-RS" w:eastAsia="sr-Latn-RS"/>
              <w14:ligatures w14:val="none"/>
            </w:rPr>
          </w:pPr>
          <w:hyperlink w:anchor="_Toc188876939">
            <w:r>
              <w:rPr>
                <w:webHidden/>
                <w:rStyle w:val="IndexLink"/>
                <w:rFonts w:cs="Tahoma" w:ascii="Tahoma" w:hAnsi="Tahoma"/>
                <w:b/>
                <w:vanish w:val="false"/>
                <w:lang w:val="sr-RS"/>
              </w:rPr>
              <w:t>2.</w:t>
            </w:r>
            <w:r>
              <w:rPr>
                <w:rStyle w:val="IndexLink"/>
                <w:rFonts w:eastAsia="DejaVu Sans" w:eastAsiaTheme="minorEastAsia"/>
                <w:kern w:val="0"/>
                <w:lang w:val="sr-Latn-RS" w:eastAsia="sr-Latn-RS"/>
                <w14:ligatures w14:val="none"/>
              </w:rPr>
              <w:tab/>
            </w:r>
            <w:r>
              <w:rPr>
                <w:rStyle w:val="IndexLink"/>
                <w:rFonts w:cs="Tahoma" w:ascii="Tahoma" w:hAnsi="Tahoma"/>
                <w:b/>
                <w:lang w:val="sr-RS"/>
              </w:rPr>
              <w:t>Плански документи и правни оквир у области социјалне заштите</w:t>
            </w:r>
            <w:r>
              <w:rPr>
                <w:webHidden/>
              </w:rPr>
              <w:fldChar w:fldCharType="begin"/>
            </w:r>
            <w:r>
              <w:rPr>
                <w:webHidden/>
              </w:rPr>
              <w:instrText>PAGEREF _Toc188876939 \h</w:instrText>
            </w:r>
            <w:r>
              <w:rPr>
                <w:webHidden/>
              </w:rPr>
              <w:fldChar w:fldCharType="separate"/>
            </w:r>
            <w:r>
              <w:rPr>
                <w:rStyle w:val="IndexLink"/>
                <w:vanish w:val="false"/>
              </w:rPr>
              <w:tab/>
              <w:t>8</w:t>
            </w:r>
            <w:r>
              <w:rPr>
                <w:webHidden/>
              </w:rPr>
              <w:fldChar w:fldCharType="end"/>
            </w:r>
          </w:hyperlink>
        </w:p>
        <w:p>
          <w:pPr>
            <w:pStyle w:val="Contents2"/>
            <w:tabs>
              <w:tab w:val="clear" w:pos="720"/>
              <w:tab w:val="left" w:pos="880" w:leader="none"/>
              <w:tab w:val="right" w:pos="9350" w:leader="dot"/>
            </w:tabs>
            <w:spacing w:before="0" w:after="0"/>
            <w:rPr>
              <w:rFonts w:eastAsia="DejaVu Sans" w:eastAsiaTheme="minorEastAsia"/>
              <w:kern w:val="0"/>
              <w:lang w:val="sr-Latn-RS" w:eastAsia="sr-Latn-RS"/>
              <w14:ligatures w14:val="none"/>
            </w:rPr>
          </w:pPr>
          <w:hyperlink w:anchor="_Toc188876940">
            <w:r>
              <w:rPr>
                <w:webHidden/>
                <w:rStyle w:val="IndexLink"/>
                <w:rFonts w:cs="Tahoma" w:ascii="Tahoma" w:hAnsi="Tahoma"/>
                <w:vanish w:val="false"/>
                <w:lang w:val="sr-RS"/>
              </w:rPr>
              <w:t>2.1.</w:t>
            </w:r>
            <w:r>
              <w:rPr>
                <w:rStyle w:val="IndexLink"/>
                <w:rFonts w:eastAsia="DejaVu Sans" w:eastAsiaTheme="minorEastAsia"/>
                <w:kern w:val="0"/>
                <w:lang w:val="sr-Latn-RS" w:eastAsia="sr-Latn-RS"/>
                <w14:ligatures w14:val="none"/>
              </w:rPr>
              <w:tab/>
            </w:r>
            <w:r>
              <w:rPr>
                <w:rStyle w:val="IndexLink"/>
                <w:rFonts w:cs="Tahoma" w:ascii="Tahoma" w:hAnsi="Tahoma"/>
                <w:lang w:val="sr-RS"/>
              </w:rPr>
              <w:t>Плански документи и правни оквир на националном нивоу</w:t>
            </w:r>
            <w:r>
              <w:rPr>
                <w:webHidden/>
              </w:rPr>
              <w:fldChar w:fldCharType="begin"/>
            </w:r>
            <w:r>
              <w:rPr>
                <w:webHidden/>
              </w:rPr>
              <w:instrText>PAGEREF _Toc188876940 \h</w:instrText>
            </w:r>
            <w:r>
              <w:rPr>
                <w:webHidden/>
              </w:rPr>
              <w:fldChar w:fldCharType="separate"/>
            </w:r>
            <w:r>
              <w:rPr>
                <w:rStyle w:val="IndexLink"/>
                <w:vanish w:val="false"/>
              </w:rPr>
              <w:tab/>
              <w:t>8</w:t>
            </w:r>
            <w:r>
              <w:rPr>
                <w:webHidden/>
              </w:rPr>
              <w:fldChar w:fldCharType="end"/>
            </w:r>
          </w:hyperlink>
        </w:p>
        <w:p>
          <w:pPr>
            <w:pStyle w:val="Contents3"/>
            <w:rPr>
              <w:rFonts w:eastAsia="DejaVu Sans" w:eastAsiaTheme="minorEastAsia"/>
              <w:kern w:val="0"/>
              <w:lang w:val="sr-Latn-RS" w:eastAsia="sr-Latn-RS"/>
              <w14:ligatures w14:val="none"/>
            </w:rPr>
          </w:pPr>
          <w:hyperlink w:anchor="_Toc188876941">
            <w:r>
              <w:rPr>
                <w:webHidden/>
                <w:rStyle w:val="IndexLink"/>
                <w:rFonts w:cs="Tahoma" w:ascii="Tahoma" w:hAnsi="Tahoma"/>
                <w:vanish w:val="false"/>
                <w:lang w:val="sr-RS"/>
              </w:rPr>
              <w:t>2.1.1.</w:t>
            </w:r>
            <w:r>
              <w:rPr>
                <w:rStyle w:val="IndexLink"/>
                <w:rFonts w:eastAsia="DejaVu Sans" w:eastAsiaTheme="minorEastAsia"/>
                <w:kern w:val="0"/>
                <w:lang w:val="sr-Latn-RS" w:eastAsia="sr-Latn-RS"/>
                <w14:ligatures w14:val="none"/>
              </w:rPr>
              <w:tab/>
            </w:r>
            <w:r>
              <w:rPr>
                <w:rStyle w:val="IndexLink"/>
                <w:rFonts w:cs="Tahoma" w:ascii="Tahoma" w:hAnsi="Tahoma"/>
                <w:lang w:val="sr-RS"/>
              </w:rPr>
              <w:t>Плански документи</w:t>
            </w:r>
            <w:r>
              <w:rPr>
                <w:webHidden/>
              </w:rPr>
              <w:fldChar w:fldCharType="begin"/>
            </w:r>
            <w:r>
              <w:rPr>
                <w:webHidden/>
              </w:rPr>
              <w:instrText>PAGEREF _Toc188876941 \h</w:instrText>
            </w:r>
            <w:r>
              <w:rPr>
                <w:webHidden/>
              </w:rPr>
              <w:fldChar w:fldCharType="separate"/>
            </w:r>
            <w:r>
              <w:rPr>
                <w:rStyle w:val="IndexLink"/>
                <w:vanish w:val="false"/>
              </w:rPr>
              <w:tab/>
              <w:t>8</w:t>
            </w:r>
            <w:r>
              <w:rPr>
                <w:webHidden/>
              </w:rPr>
              <w:fldChar w:fldCharType="end"/>
            </w:r>
          </w:hyperlink>
        </w:p>
        <w:p>
          <w:pPr>
            <w:pStyle w:val="Contents3"/>
            <w:rPr>
              <w:rFonts w:eastAsia="DejaVu Sans" w:eastAsiaTheme="minorEastAsia"/>
              <w:kern w:val="0"/>
              <w:lang w:val="sr-Latn-RS" w:eastAsia="sr-Latn-RS"/>
              <w14:ligatures w14:val="none"/>
            </w:rPr>
          </w:pPr>
          <w:hyperlink w:anchor="_Toc188876942">
            <w:r>
              <w:rPr>
                <w:webHidden/>
                <w:rStyle w:val="IndexLink"/>
                <w:rFonts w:cs="Tahoma" w:ascii="Tahoma" w:hAnsi="Tahoma"/>
                <w:vanish w:val="false"/>
                <w:lang w:val="sr-RS"/>
              </w:rPr>
              <w:t>2.1.2.</w:t>
            </w:r>
            <w:r>
              <w:rPr>
                <w:rStyle w:val="IndexLink"/>
                <w:rFonts w:eastAsia="DejaVu Sans" w:eastAsiaTheme="minorEastAsia"/>
                <w:kern w:val="0"/>
                <w:lang w:val="sr-Latn-RS" w:eastAsia="sr-Latn-RS"/>
                <w14:ligatures w14:val="none"/>
              </w:rPr>
              <w:tab/>
            </w:r>
            <w:r>
              <w:rPr>
                <w:rStyle w:val="IndexLink"/>
                <w:rFonts w:cs="Tahoma" w:ascii="Tahoma" w:hAnsi="Tahoma"/>
                <w:lang w:val="sr-RS"/>
              </w:rPr>
              <w:t>Правни оквир</w:t>
            </w:r>
            <w:r>
              <w:rPr>
                <w:webHidden/>
              </w:rPr>
              <w:fldChar w:fldCharType="begin"/>
            </w:r>
            <w:r>
              <w:rPr>
                <w:webHidden/>
              </w:rPr>
              <w:instrText>PAGEREF _Toc188876942 \h</w:instrText>
            </w:r>
            <w:r>
              <w:rPr>
                <w:webHidden/>
              </w:rPr>
              <w:fldChar w:fldCharType="separate"/>
            </w:r>
            <w:r>
              <w:rPr>
                <w:rStyle w:val="IndexLink"/>
                <w:vanish w:val="false"/>
              </w:rPr>
              <w:tab/>
              <w:t>10</w:t>
            </w:r>
            <w:r>
              <w:rPr>
                <w:webHidden/>
              </w:rPr>
              <w:fldChar w:fldCharType="end"/>
            </w:r>
          </w:hyperlink>
        </w:p>
        <w:p>
          <w:pPr>
            <w:pStyle w:val="Contents2"/>
            <w:tabs>
              <w:tab w:val="clear" w:pos="720"/>
              <w:tab w:val="left" w:pos="880" w:leader="none"/>
              <w:tab w:val="right" w:pos="9350" w:leader="dot"/>
            </w:tabs>
            <w:spacing w:before="0" w:after="0"/>
            <w:rPr>
              <w:rFonts w:eastAsia="DejaVu Sans" w:eastAsiaTheme="minorEastAsia"/>
              <w:kern w:val="0"/>
              <w:lang w:val="sr-Latn-RS" w:eastAsia="sr-Latn-RS"/>
              <w14:ligatures w14:val="none"/>
            </w:rPr>
          </w:pPr>
          <w:hyperlink w:anchor="_Toc188876943">
            <w:r>
              <w:rPr>
                <w:webHidden/>
                <w:rStyle w:val="IndexLink"/>
                <w:rFonts w:cs="Tahoma" w:ascii="Tahoma" w:hAnsi="Tahoma"/>
                <w:vanish w:val="false"/>
                <w:lang w:val="sr-RS"/>
              </w:rPr>
              <w:t>2.2.</w:t>
            </w:r>
            <w:r>
              <w:rPr>
                <w:rStyle w:val="IndexLink"/>
                <w:rFonts w:eastAsia="DejaVu Sans" w:eastAsiaTheme="minorEastAsia"/>
                <w:kern w:val="0"/>
                <w:lang w:val="sr-Latn-RS" w:eastAsia="sr-Latn-RS"/>
                <w14:ligatures w14:val="none"/>
              </w:rPr>
              <w:tab/>
            </w:r>
            <w:r>
              <w:rPr>
                <w:rStyle w:val="IndexLink"/>
                <w:rFonts w:cs="Tahoma" w:ascii="Tahoma" w:hAnsi="Tahoma"/>
                <w:lang w:val="sr-RS"/>
              </w:rPr>
              <w:t>Плански документи и правни оквир на локалном нивоу</w:t>
            </w:r>
            <w:r>
              <w:rPr>
                <w:webHidden/>
              </w:rPr>
              <w:fldChar w:fldCharType="begin"/>
            </w:r>
            <w:r>
              <w:rPr>
                <w:webHidden/>
              </w:rPr>
              <w:instrText>PAGEREF _Toc188876943 \h</w:instrText>
            </w:r>
            <w:r>
              <w:rPr>
                <w:webHidden/>
              </w:rPr>
              <w:fldChar w:fldCharType="separate"/>
            </w:r>
            <w:r>
              <w:rPr>
                <w:rStyle w:val="IndexLink"/>
                <w:vanish w:val="false"/>
              </w:rPr>
              <w:tab/>
              <w:t>12</w:t>
            </w:r>
            <w:r>
              <w:rPr>
                <w:webHidden/>
              </w:rPr>
              <w:fldChar w:fldCharType="end"/>
            </w:r>
          </w:hyperlink>
        </w:p>
        <w:p>
          <w:pPr>
            <w:pStyle w:val="Contents3"/>
            <w:rPr>
              <w:rFonts w:eastAsia="DejaVu Sans" w:eastAsiaTheme="minorEastAsia"/>
              <w:kern w:val="0"/>
              <w:lang w:val="sr-Latn-RS" w:eastAsia="sr-Latn-RS"/>
              <w14:ligatures w14:val="none"/>
            </w:rPr>
          </w:pPr>
          <w:hyperlink w:anchor="_Toc188876944">
            <w:r>
              <w:rPr>
                <w:webHidden/>
                <w:rStyle w:val="IndexLink"/>
                <w:rFonts w:cs="Tahoma" w:ascii="Tahoma" w:hAnsi="Tahoma"/>
                <w:vanish w:val="false"/>
                <w:lang w:val="sr-RS"/>
              </w:rPr>
              <w:t>2.2.1.</w:t>
            </w:r>
            <w:r>
              <w:rPr>
                <w:rStyle w:val="IndexLink"/>
                <w:rFonts w:eastAsia="DejaVu Sans" w:eastAsiaTheme="minorEastAsia"/>
                <w:kern w:val="0"/>
                <w:lang w:val="sr-Latn-RS" w:eastAsia="sr-Latn-RS"/>
                <w14:ligatures w14:val="none"/>
              </w:rPr>
              <w:tab/>
            </w:r>
            <w:r>
              <w:rPr>
                <w:rStyle w:val="IndexLink"/>
                <w:rFonts w:cs="Tahoma" w:ascii="Tahoma" w:hAnsi="Tahoma"/>
                <w:lang w:val="sr-RS"/>
              </w:rPr>
              <w:t>Плански документи</w:t>
            </w:r>
            <w:r>
              <w:rPr>
                <w:webHidden/>
              </w:rPr>
              <w:fldChar w:fldCharType="begin"/>
            </w:r>
            <w:r>
              <w:rPr>
                <w:webHidden/>
              </w:rPr>
              <w:instrText>PAGEREF _Toc188876944 \h</w:instrText>
            </w:r>
            <w:r>
              <w:rPr>
                <w:webHidden/>
              </w:rPr>
              <w:fldChar w:fldCharType="separate"/>
            </w:r>
            <w:r>
              <w:rPr>
                <w:rStyle w:val="IndexLink"/>
                <w:vanish w:val="false"/>
              </w:rPr>
              <w:tab/>
              <w:t>12</w:t>
            </w:r>
            <w:r>
              <w:rPr>
                <w:webHidden/>
              </w:rPr>
              <w:fldChar w:fldCharType="end"/>
            </w:r>
          </w:hyperlink>
        </w:p>
        <w:p>
          <w:pPr>
            <w:pStyle w:val="Contents3"/>
            <w:rPr>
              <w:rFonts w:eastAsia="DejaVu Sans" w:eastAsiaTheme="minorEastAsia"/>
              <w:kern w:val="0"/>
              <w:lang w:val="sr-Latn-RS" w:eastAsia="sr-Latn-RS"/>
              <w14:ligatures w14:val="none"/>
            </w:rPr>
          </w:pPr>
          <w:hyperlink w:anchor="_Toc188876945">
            <w:r>
              <w:rPr>
                <w:webHidden/>
                <w:rStyle w:val="IndexLink"/>
                <w:rFonts w:cs="Tahoma" w:ascii="Tahoma" w:hAnsi="Tahoma"/>
                <w:vanish w:val="false"/>
                <w:lang w:val="sr-RS"/>
              </w:rPr>
              <w:t>2.2.2.</w:t>
            </w:r>
            <w:r>
              <w:rPr>
                <w:rStyle w:val="IndexLink"/>
                <w:rFonts w:eastAsia="DejaVu Sans" w:eastAsiaTheme="minorEastAsia"/>
                <w:kern w:val="0"/>
                <w:lang w:val="sr-Latn-RS" w:eastAsia="sr-Latn-RS"/>
                <w14:ligatures w14:val="none"/>
              </w:rPr>
              <w:tab/>
            </w:r>
            <w:r>
              <w:rPr>
                <w:rStyle w:val="IndexLink"/>
                <w:rFonts w:cs="Tahoma" w:ascii="Tahoma" w:hAnsi="Tahoma"/>
                <w:lang w:val="sr-RS"/>
              </w:rPr>
              <w:t>Правни оквир</w:t>
            </w:r>
            <w:r>
              <w:rPr>
                <w:webHidden/>
              </w:rPr>
              <w:fldChar w:fldCharType="begin"/>
            </w:r>
            <w:r>
              <w:rPr>
                <w:webHidden/>
              </w:rPr>
              <w:instrText>PAGEREF _Toc188876945 \h</w:instrText>
            </w:r>
            <w:r>
              <w:rPr>
                <w:webHidden/>
              </w:rPr>
              <w:fldChar w:fldCharType="separate"/>
            </w:r>
            <w:r>
              <w:rPr>
                <w:rStyle w:val="IndexLink"/>
                <w:vanish w:val="false"/>
              </w:rPr>
              <w:tab/>
              <w:t>14</w:t>
            </w:r>
            <w:r>
              <w:rPr>
                <w:webHidden/>
              </w:rPr>
              <w:fldChar w:fldCharType="end"/>
            </w:r>
          </w:hyperlink>
        </w:p>
        <w:p>
          <w:pPr>
            <w:pStyle w:val="Contents1"/>
            <w:tabs>
              <w:tab w:val="clear" w:pos="720"/>
              <w:tab w:val="left" w:pos="440" w:leader="none"/>
              <w:tab w:val="right" w:pos="9350" w:leader="dot"/>
            </w:tabs>
            <w:spacing w:before="0" w:after="0"/>
            <w:rPr>
              <w:rFonts w:eastAsia="DejaVu Sans" w:eastAsiaTheme="minorEastAsia"/>
              <w:kern w:val="0"/>
              <w:lang w:val="sr-Latn-RS" w:eastAsia="sr-Latn-RS"/>
              <w14:ligatures w14:val="none"/>
            </w:rPr>
          </w:pPr>
          <w:hyperlink w:anchor="_Toc188876946">
            <w:r>
              <w:rPr>
                <w:webHidden/>
                <w:rStyle w:val="IndexLink"/>
                <w:rFonts w:cs="Tahoma" w:ascii="Tahoma" w:hAnsi="Tahoma"/>
                <w:b/>
                <w:vanish w:val="false"/>
                <w:lang w:val="sr-RS"/>
              </w:rPr>
              <w:t>3.</w:t>
            </w:r>
            <w:r>
              <w:rPr>
                <w:rStyle w:val="IndexLink"/>
                <w:rFonts w:eastAsia="DejaVu Sans" w:eastAsiaTheme="minorEastAsia"/>
                <w:kern w:val="0"/>
                <w:lang w:val="sr-Latn-RS" w:eastAsia="sr-Latn-RS"/>
                <w14:ligatures w14:val="none"/>
              </w:rPr>
              <w:tab/>
            </w:r>
            <w:r>
              <w:rPr>
                <w:rStyle w:val="IndexLink"/>
                <w:rFonts w:cs="Tahoma" w:ascii="Tahoma" w:hAnsi="Tahoma"/>
                <w:b/>
                <w:lang w:val="sr-RS"/>
              </w:rPr>
              <w:t>Опис постојећег стања са анализом проблема и жељених промена</w:t>
            </w:r>
            <w:r>
              <w:rPr>
                <w:webHidden/>
              </w:rPr>
              <w:fldChar w:fldCharType="begin"/>
            </w:r>
            <w:r>
              <w:rPr>
                <w:webHidden/>
              </w:rPr>
              <w:instrText>PAGEREF _Toc188876946 \h</w:instrText>
            </w:r>
            <w:r>
              <w:rPr>
                <w:webHidden/>
              </w:rPr>
              <w:fldChar w:fldCharType="separate"/>
            </w:r>
            <w:r>
              <w:rPr>
                <w:rStyle w:val="IndexLink"/>
                <w:vanish w:val="false"/>
              </w:rPr>
              <w:tab/>
              <w:t>15</w:t>
            </w:r>
            <w:r>
              <w:rPr>
                <w:webHidden/>
              </w:rPr>
              <w:fldChar w:fldCharType="end"/>
            </w:r>
          </w:hyperlink>
        </w:p>
        <w:p>
          <w:pPr>
            <w:pStyle w:val="Contents2"/>
            <w:tabs>
              <w:tab w:val="clear" w:pos="720"/>
              <w:tab w:val="left" w:pos="880" w:leader="none"/>
              <w:tab w:val="right" w:pos="9350" w:leader="dot"/>
            </w:tabs>
            <w:spacing w:before="0" w:after="0"/>
            <w:rPr>
              <w:rFonts w:eastAsia="DejaVu Sans" w:eastAsiaTheme="minorEastAsia"/>
              <w:kern w:val="0"/>
              <w:lang w:val="sr-Latn-RS" w:eastAsia="sr-Latn-RS"/>
              <w14:ligatures w14:val="none"/>
            </w:rPr>
          </w:pPr>
          <w:hyperlink w:anchor="_Toc188876947">
            <w:r>
              <w:rPr>
                <w:webHidden/>
                <w:rStyle w:val="IndexLink"/>
                <w:rFonts w:cs="Tahoma" w:ascii="Tahoma" w:hAnsi="Tahoma"/>
                <w:vanish w:val="false"/>
                <w:lang w:val="sr-RS"/>
              </w:rPr>
              <w:t>3.1.</w:t>
            </w:r>
            <w:r>
              <w:rPr>
                <w:rStyle w:val="IndexLink"/>
                <w:rFonts w:eastAsia="DejaVu Sans" w:eastAsiaTheme="minorEastAsia"/>
                <w:kern w:val="0"/>
                <w:lang w:val="sr-Latn-RS" w:eastAsia="sr-Latn-RS"/>
                <w14:ligatures w14:val="none"/>
              </w:rPr>
              <w:tab/>
            </w:r>
            <w:r>
              <w:rPr>
                <w:rStyle w:val="IndexLink"/>
                <w:rFonts w:cs="Tahoma" w:ascii="Tahoma" w:hAnsi="Tahoma"/>
                <w:lang w:val="sr-RS"/>
              </w:rPr>
              <w:t xml:space="preserve">Кључни налази </w:t>
            </w:r>
            <w:r>
              <w:rPr>
                <w:rStyle w:val="IndexLink"/>
                <w:rFonts w:cs="Tahoma" w:ascii="Tahoma" w:hAnsi="Tahoma"/>
                <w:i/>
                <w:iCs/>
                <w:lang w:val="sr-RS"/>
              </w:rPr>
              <w:t>ex-post</w:t>
            </w:r>
            <w:r>
              <w:rPr>
                <w:rStyle w:val="IndexLink"/>
                <w:rFonts w:cs="Tahoma" w:ascii="Tahoma" w:hAnsi="Tahoma"/>
                <w:lang w:val="sr-RS"/>
              </w:rPr>
              <w:t xml:space="preserve"> анализе претходног планског документа у области социјалне заштите</w:t>
            </w:r>
            <w:r>
              <w:rPr>
                <w:webHidden/>
              </w:rPr>
              <w:fldChar w:fldCharType="begin"/>
            </w:r>
            <w:r>
              <w:rPr>
                <w:webHidden/>
              </w:rPr>
              <w:instrText>PAGEREF _Toc188876947 \h</w:instrText>
            </w:r>
            <w:r>
              <w:rPr>
                <w:webHidden/>
              </w:rPr>
              <w:fldChar w:fldCharType="separate"/>
            </w:r>
            <w:r>
              <w:rPr>
                <w:rStyle w:val="IndexLink"/>
                <w:vanish w:val="false"/>
              </w:rPr>
              <w:tab/>
              <w:t>15</w:t>
            </w:r>
            <w:r>
              <w:rPr>
                <w:webHidden/>
              </w:rPr>
              <w:fldChar w:fldCharType="end"/>
            </w:r>
          </w:hyperlink>
        </w:p>
        <w:p>
          <w:pPr>
            <w:pStyle w:val="Contents2"/>
            <w:tabs>
              <w:tab w:val="clear" w:pos="720"/>
              <w:tab w:val="left" w:pos="880" w:leader="none"/>
              <w:tab w:val="right" w:pos="9350" w:leader="dot"/>
            </w:tabs>
            <w:spacing w:before="0" w:after="0"/>
            <w:rPr>
              <w:rFonts w:eastAsia="DejaVu Sans" w:eastAsiaTheme="minorEastAsia"/>
              <w:kern w:val="0"/>
              <w:lang w:val="sr-Latn-RS" w:eastAsia="sr-Latn-RS"/>
              <w14:ligatures w14:val="none"/>
            </w:rPr>
          </w:pPr>
          <w:hyperlink w:anchor="_Toc188876948">
            <w:r>
              <w:rPr>
                <w:webHidden/>
                <w:rStyle w:val="IndexLink"/>
                <w:rFonts w:cs="Tahoma" w:ascii="Tahoma" w:hAnsi="Tahoma"/>
                <w:vanish w:val="false"/>
                <w:lang w:val="sr-RS"/>
              </w:rPr>
              <w:t>3.2.</w:t>
            </w:r>
            <w:r>
              <w:rPr>
                <w:rStyle w:val="IndexLink"/>
                <w:rFonts w:eastAsia="DejaVu Sans" w:eastAsiaTheme="minorEastAsia"/>
                <w:kern w:val="0"/>
                <w:lang w:val="sr-Latn-RS" w:eastAsia="sr-Latn-RS"/>
                <w14:ligatures w14:val="none"/>
              </w:rPr>
              <w:tab/>
            </w:r>
            <w:r>
              <w:rPr>
                <w:rStyle w:val="IndexLink"/>
                <w:rFonts w:cs="Tahoma" w:ascii="Tahoma" w:hAnsi="Tahoma"/>
                <w:lang w:val="sr-RS"/>
              </w:rPr>
              <w:t>Општи подаци о општини Беочин</w:t>
            </w:r>
            <w:r>
              <w:rPr>
                <w:webHidden/>
              </w:rPr>
              <w:fldChar w:fldCharType="begin"/>
            </w:r>
            <w:r>
              <w:rPr>
                <w:webHidden/>
              </w:rPr>
              <w:instrText>PAGEREF _Toc188876948 \h</w:instrText>
            </w:r>
            <w:r>
              <w:rPr>
                <w:webHidden/>
              </w:rPr>
              <w:fldChar w:fldCharType="separate"/>
            </w:r>
            <w:r>
              <w:rPr>
                <w:rStyle w:val="IndexLink"/>
                <w:vanish w:val="false"/>
              </w:rPr>
              <w:tab/>
              <w:t>16</w:t>
            </w:r>
            <w:r>
              <w:rPr>
                <w:webHidden/>
              </w:rPr>
              <w:fldChar w:fldCharType="end"/>
            </w:r>
          </w:hyperlink>
        </w:p>
        <w:p>
          <w:pPr>
            <w:pStyle w:val="Contents2"/>
            <w:tabs>
              <w:tab w:val="clear" w:pos="720"/>
              <w:tab w:val="left" w:pos="880" w:leader="none"/>
              <w:tab w:val="right" w:pos="9350" w:leader="dot"/>
            </w:tabs>
            <w:spacing w:before="0" w:after="0"/>
            <w:rPr>
              <w:rFonts w:eastAsia="DejaVu Sans" w:eastAsiaTheme="minorEastAsia"/>
              <w:kern w:val="0"/>
              <w:lang w:val="sr-Latn-RS" w:eastAsia="sr-Latn-RS"/>
              <w14:ligatures w14:val="none"/>
            </w:rPr>
          </w:pPr>
          <w:hyperlink w:anchor="_Toc188876949">
            <w:r>
              <w:rPr>
                <w:webHidden/>
                <w:rStyle w:val="IndexLink"/>
                <w:rFonts w:cs="Tahoma" w:ascii="Tahoma" w:hAnsi="Tahoma"/>
                <w:vanish w:val="false"/>
                <w:lang w:val="sr-RS"/>
              </w:rPr>
              <w:t>3.3.</w:t>
            </w:r>
            <w:r>
              <w:rPr>
                <w:rStyle w:val="IndexLink"/>
                <w:rFonts w:eastAsia="DejaVu Sans" w:eastAsiaTheme="minorEastAsia"/>
                <w:kern w:val="0"/>
                <w:lang w:val="sr-Latn-RS" w:eastAsia="sr-Latn-RS"/>
                <w14:ligatures w14:val="none"/>
              </w:rPr>
              <w:tab/>
            </w:r>
            <w:r>
              <w:rPr>
                <w:rStyle w:val="IndexLink"/>
                <w:rFonts w:cs="Tahoma" w:ascii="Tahoma" w:hAnsi="Tahoma"/>
                <w:lang w:val="sr-RS"/>
              </w:rPr>
              <w:t>Корисници и обезбеђивање права на социјалну заштиту у општини Беочин</w:t>
            </w:r>
            <w:r>
              <w:rPr>
                <w:webHidden/>
              </w:rPr>
              <w:fldChar w:fldCharType="begin"/>
            </w:r>
            <w:r>
              <w:rPr>
                <w:webHidden/>
              </w:rPr>
              <w:instrText>PAGEREF _Toc188876949 \h</w:instrText>
            </w:r>
            <w:r>
              <w:rPr>
                <w:webHidden/>
              </w:rPr>
              <w:fldChar w:fldCharType="separate"/>
            </w:r>
            <w:r>
              <w:rPr>
                <w:rStyle w:val="IndexLink"/>
                <w:vanish w:val="false"/>
              </w:rPr>
              <w:tab/>
              <w:t>21</w:t>
            </w:r>
            <w:r>
              <w:rPr>
                <w:webHidden/>
              </w:rPr>
              <w:fldChar w:fldCharType="end"/>
            </w:r>
          </w:hyperlink>
        </w:p>
        <w:p>
          <w:pPr>
            <w:pStyle w:val="Contents3"/>
            <w:rPr>
              <w:rFonts w:eastAsia="DejaVu Sans" w:eastAsiaTheme="minorEastAsia"/>
              <w:kern w:val="0"/>
              <w:lang w:val="sr-Latn-RS" w:eastAsia="sr-Latn-RS"/>
              <w14:ligatures w14:val="none"/>
            </w:rPr>
          </w:pPr>
          <w:hyperlink w:anchor="_Toc188876950">
            <w:r>
              <w:rPr>
                <w:webHidden/>
                <w:rStyle w:val="IndexLink"/>
                <w:rFonts w:eastAsia="DejaVu Sans" w:cs="Tahoma" w:ascii="Tahoma" w:hAnsi="Tahoma" w:eastAsiaTheme="majorEastAsia"/>
                <w:vanish w:val="false"/>
                <w:lang w:val="sr-RS"/>
              </w:rPr>
              <w:t>3.3.1.</w:t>
            </w:r>
            <w:r>
              <w:rPr>
                <w:rStyle w:val="IndexLink"/>
                <w:rFonts w:eastAsia="DejaVu Sans" w:eastAsiaTheme="minorEastAsia"/>
                <w:kern w:val="0"/>
                <w:lang w:val="sr-Latn-RS" w:eastAsia="sr-Latn-RS"/>
                <w14:ligatures w14:val="none"/>
              </w:rPr>
              <w:tab/>
            </w:r>
            <w:r>
              <w:rPr>
                <w:rStyle w:val="IndexLink"/>
                <w:rFonts w:eastAsia="DejaVu Sans" w:cs="Tahoma" w:ascii="Tahoma" w:hAnsi="Tahoma" w:eastAsiaTheme="majorEastAsia"/>
                <w:lang w:val="sr-RS"/>
              </w:rPr>
              <w:t>Структура корисника социјалне заштите у општини Беочин</w:t>
            </w:r>
            <w:r>
              <w:rPr>
                <w:webHidden/>
              </w:rPr>
              <w:fldChar w:fldCharType="begin"/>
            </w:r>
            <w:r>
              <w:rPr>
                <w:webHidden/>
              </w:rPr>
              <w:instrText>PAGEREF _Toc188876950 \h</w:instrText>
            </w:r>
            <w:r>
              <w:rPr>
                <w:webHidden/>
              </w:rPr>
              <w:fldChar w:fldCharType="separate"/>
            </w:r>
            <w:r>
              <w:rPr>
                <w:rStyle w:val="IndexLink"/>
                <w:vanish w:val="false"/>
              </w:rPr>
              <w:tab/>
              <w:t>21</w:t>
            </w:r>
            <w:r>
              <w:rPr>
                <w:webHidden/>
              </w:rPr>
              <w:fldChar w:fldCharType="end"/>
            </w:r>
          </w:hyperlink>
        </w:p>
        <w:p>
          <w:pPr>
            <w:pStyle w:val="Contents3"/>
            <w:rPr>
              <w:rFonts w:eastAsia="DejaVu Sans" w:eastAsiaTheme="minorEastAsia"/>
              <w:kern w:val="0"/>
              <w:lang w:val="sr-Latn-RS" w:eastAsia="sr-Latn-RS"/>
              <w14:ligatures w14:val="none"/>
            </w:rPr>
          </w:pPr>
          <w:hyperlink w:anchor="_Toc188876951">
            <w:r>
              <w:rPr>
                <w:webHidden/>
                <w:rStyle w:val="IndexLink"/>
                <w:rFonts w:eastAsia="DejaVu Sans" w:cs="Tahoma" w:ascii="Tahoma" w:hAnsi="Tahoma" w:eastAsiaTheme="majorEastAsia"/>
                <w:vanish w:val="false"/>
                <w:lang w:val="sr-RS"/>
              </w:rPr>
              <w:t>3.3.2.</w:t>
            </w:r>
            <w:r>
              <w:rPr>
                <w:rStyle w:val="IndexLink"/>
                <w:rFonts w:eastAsia="DejaVu Sans" w:eastAsiaTheme="minorEastAsia"/>
                <w:kern w:val="0"/>
                <w:lang w:val="sr-Latn-RS" w:eastAsia="sr-Latn-RS"/>
                <w14:ligatures w14:val="none"/>
              </w:rPr>
              <w:tab/>
            </w:r>
            <w:r>
              <w:rPr>
                <w:rStyle w:val="IndexLink"/>
                <w:rFonts w:eastAsia="DejaVu Sans" w:cs="Tahoma" w:ascii="Tahoma" w:hAnsi="Tahoma" w:eastAsiaTheme="majorEastAsia"/>
                <w:lang w:val="sr-RS"/>
              </w:rPr>
              <w:t>Финансирање социјалне заштите у општини Беочин</w:t>
            </w:r>
            <w:r>
              <w:rPr>
                <w:webHidden/>
              </w:rPr>
              <w:fldChar w:fldCharType="begin"/>
            </w:r>
            <w:r>
              <w:rPr>
                <w:webHidden/>
              </w:rPr>
              <w:instrText>PAGEREF _Toc188876951 \h</w:instrText>
            </w:r>
            <w:r>
              <w:rPr>
                <w:webHidden/>
              </w:rPr>
              <w:fldChar w:fldCharType="separate"/>
            </w:r>
            <w:r>
              <w:rPr>
                <w:rStyle w:val="IndexLink"/>
                <w:vanish w:val="false"/>
              </w:rPr>
              <w:tab/>
              <w:t>23</w:t>
            </w:r>
            <w:r>
              <w:rPr>
                <w:webHidden/>
              </w:rPr>
              <w:fldChar w:fldCharType="end"/>
            </w:r>
          </w:hyperlink>
        </w:p>
        <w:p>
          <w:pPr>
            <w:pStyle w:val="Contents3"/>
            <w:rPr>
              <w:rFonts w:eastAsia="DejaVu Sans" w:eastAsiaTheme="minorEastAsia"/>
              <w:kern w:val="0"/>
              <w:lang w:val="sr-Latn-RS" w:eastAsia="sr-Latn-RS"/>
              <w14:ligatures w14:val="none"/>
            </w:rPr>
          </w:pPr>
          <w:hyperlink w:anchor="_Toc188876952">
            <w:r>
              <w:rPr>
                <w:webHidden/>
                <w:rStyle w:val="IndexLink"/>
                <w:rFonts w:eastAsia="DejaVu Sans" w:cs="Tahoma" w:ascii="Tahoma" w:hAnsi="Tahoma" w:eastAsiaTheme="majorEastAsia"/>
                <w:vanish w:val="false"/>
                <w:lang w:val="sr-RS"/>
              </w:rPr>
              <w:t>3.3.3.</w:t>
            </w:r>
            <w:r>
              <w:rPr>
                <w:rStyle w:val="IndexLink"/>
                <w:rFonts w:eastAsia="DejaVu Sans" w:eastAsiaTheme="minorEastAsia"/>
                <w:kern w:val="0"/>
                <w:lang w:val="sr-Latn-RS" w:eastAsia="sr-Latn-RS"/>
                <w14:ligatures w14:val="none"/>
              </w:rPr>
              <w:tab/>
            </w:r>
            <w:r>
              <w:rPr>
                <w:rStyle w:val="IndexLink"/>
                <w:rFonts w:eastAsia="DejaVu Sans" w:cs="Tahoma" w:ascii="Tahoma" w:hAnsi="Tahoma" w:eastAsiaTheme="majorEastAsia"/>
                <w:lang w:val="sr-RS"/>
              </w:rPr>
              <w:t>Услуге социјалне заштите у општини Беочин</w:t>
            </w:r>
            <w:r>
              <w:rPr>
                <w:webHidden/>
              </w:rPr>
              <w:fldChar w:fldCharType="begin"/>
            </w:r>
            <w:r>
              <w:rPr>
                <w:webHidden/>
              </w:rPr>
              <w:instrText>PAGEREF _Toc188876952 \h</w:instrText>
            </w:r>
            <w:r>
              <w:rPr>
                <w:webHidden/>
              </w:rPr>
              <w:fldChar w:fldCharType="separate"/>
            </w:r>
            <w:r>
              <w:rPr>
                <w:rStyle w:val="IndexLink"/>
                <w:vanish w:val="false"/>
              </w:rPr>
              <w:tab/>
              <w:t>28</w:t>
            </w:r>
            <w:r>
              <w:rPr>
                <w:webHidden/>
              </w:rPr>
              <w:fldChar w:fldCharType="end"/>
            </w:r>
          </w:hyperlink>
        </w:p>
        <w:p>
          <w:pPr>
            <w:pStyle w:val="Contents3"/>
            <w:rPr>
              <w:rFonts w:eastAsia="DejaVu Sans" w:eastAsiaTheme="minorEastAsia"/>
              <w:kern w:val="0"/>
              <w:lang w:val="sr-Latn-RS" w:eastAsia="sr-Latn-RS"/>
              <w14:ligatures w14:val="none"/>
            </w:rPr>
          </w:pPr>
          <w:hyperlink w:anchor="_Toc188876953">
            <w:r>
              <w:rPr>
                <w:webHidden/>
                <w:rStyle w:val="IndexLink"/>
                <w:rFonts w:eastAsia="DejaVu Sans" w:cs="Tahoma" w:ascii="Tahoma" w:hAnsi="Tahoma" w:eastAsiaTheme="majorEastAsia"/>
                <w:vanish w:val="false"/>
                <w:lang w:val="sr-RS"/>
              </w:rPr>
              <w:t>3.3.4.</w:t>
            </w:r>
            <w:r>
              <w:rPr>
                <w:rStyle w:val="IndexLink"/>
                <w:rFonts w:eastAsia="DejaVu Sans" w:eastAsiaTheme="minorEastAsia"/>
                <w:kern w:val="0"/>
                <w:lang w:val="sr-Latn-RS" w:eastAsia="sr-Latn-RS"/>
                <w14:ligatures w14:val="none"/>
              </w:rPr>
              <w:tab/>
            </w:r>
            <w:r>
              <w:rPr>
                <w:rStyle w:val="IndexLink"/>
                <w:rFonts w:eastAsia="DejaVu Sans" w:cs="Tahoma" w:ascii="Tahoma" w:hAnsi="Tahoma" w:eastAsiaTheme="majorEastAsia"/>
                <w:lang w:val="sr-RS"/>
              </w:rPr>
              <w:t>Материјална подршка</w:t>
            </w:r>
            <w:r>
              <w:rPr>
                <w:webHidden/>
              </w:rPr>
              <w:fldChar w:fldCharType="begin"/>
            </w:r>
            <w:r>
              <w:rPr>
                <w:webHidden/>
              </w:rPr>
              <w:instrText>PAGEREF _Toc188876953 \h</w:instrText>
            </w:r>
            <w:r>
              <w:rPr>
                <w:webHidden/>
              </w:rPr>
              <w:fldChar w:fldCharType="separate"/>
            </w:r>
            <w:r>
              <w:rPr>
                <w:rStyle w:val="IndexLink"/>
                <w:vanish w:val="false"/>
              </w:rPr>
              <w:tab/>
              <w:t>29</w:t>
            </w:r>
            <w:r>
              <w:rPr>
                <w:webHidden/>
              </w:rPr>
              <w:fldChar w:fldCharType="end"/>
            </w:r>
          </w:hyperlink>
        </w:p>
        <w:p>
          <w:pPr>
            <w:pStyle w:val="Contents3"/>
            <w:rPr>
              <w:rFonts w:eastAsia="DejaVu Sans" w:eastAsiaTheme="minorEastAsia"/>
              <w:kern w:val="0"/>
              <w:lang w:val="sr-Latn-RS" w:eastAsia="sr-Latn-RS"/>
              <w14:ligatures w14:val="none"/>
            </w:rPr>
          </w:pPr>
          <w:hyperlink w:anchor="_Toc188876954">
            <w:r>
              <w:rPr>
                <w:webHidden/>
                <w:rStyle w:val="IndexLink"/>
                <w:rFonts w:eastAsia="DejaVu Sans" w:cs="Tahoma" w:ascii="Tahoma" w:hAnsi="Tahoma" w:eastAsiaTheme="majorEastAsia"/>
                <w:vanish w:val="false"/>
                <w:lang w:val="sr-RS"/>
              </w:rPr>
              <w:t>3.3.5.</w:t>
            </w:r>
            <w:r>
              <w:rPr>
                <w:rStyle w:val="IndexLink"/>
                <w:rFonts w:eastAsia="DejaVu Sans" w:eastAsiaTheme="minorEastAsia"/>
                <w:kern w:val="0"/>
                <w:lang w:val="sr-Latn-RS" w:eastAsia="sr-Latn-RS"/>
                <w14:ligatures w14:val="none"/>
              </w:rPr>
              <w:tab/>
            </w:r>
            <w:r>
              <w:rPr>
                <w:rStyle w:val="IndexLink"/>
                <w:rFonts w:eastAsia="DejaVu Sans" w:cs="Tahoma" w:ascii="Tahoma" w:hAnsi="Tahoma" w:eastAsiaTheme="majorEastAsia"/>
                <w:lang w:val="sr-RS"/>
              </w:rPr>
              <w:t>Институционални капацитети за обезбеђивање социјалне заштите у општини Беочин</w:t>
            </w:r>
            <w:r>
              <w:rPr>
                <w:webHidden/>
              </w:rPr>
              <w:fldChar w:fldCharType="begin"/>
            </w:r>
            <w:r>
              <w:rPr>
                <w:webHidden/>
              </w:rPr>
              <w:instrText>PAGEREF _Toc188876954 \h</w:instrText>
            </w:r>
            <w:r>
              <w:rPr>
                <w:webHidden/>
              </w:rPr>
              <w:fldChar w:fldCharType="separate"/>
            </w:r>
            <w:r>
              <w:rPr>
                <w:rStyle w:val="IndexLink"/>
                <w:vanish w:val="false"/>
              </w:rPr>
              <w:tab/>
              <w:t>32</w:t>
            </w:r>
            <w:r>
              <w:rPr>
                <w:webHidden/>
              </w:rPr>
              <w:fldChar w:fldCharType="end"/>
            </w:r>
          </w:hyperlink>
        </w:p>
        <w:p>
          <w:pPr>
            <w:pStyle w:val="Contents2"/>
            <w:tabs>
              <w:tab w:val="clear" w:pos="720"/>
              <w:tab w:val="left" w:pos="880" w:leader="none"/>
              <w:tab w:val="right" w:pos="9350" w:leader="dot"/>
            </w:tabs>
            <w:spacing w:before="0" w:after="0"/>
            <w:rPr>
              <w:rFonts w:eastAsia="DejaVu Sans" w:eastAsiaTheme="minorEastAsia"/>
              <w:kern w:val="0"/>
              <w:lang w:val="sr-Latn-RS" w:eastAsia="sr-Latn-RS"/>
              <w14:ligatures w14:val="none"/>
            </w:rPr>
          </w:pPr>
          <w:hyperlink w:anchor="_Toc188876955">
            <w:r>
              <w:rPr>
                <w:webHidden/>
                <w:rStyle w:val="IndexLink"/>
                <w:rFonts w:cs="Tahoma" w:ascii="Tahoma" w:hAnsi="Tahoma"/>
                <w:vanish w:val="false"/>
                <w:lang w:val="sr-RS"/>
              </w:rPr>
              <w:t>3.4.</w:t>
            </w:r>
            <w:r>
              <w:rPr>
                <w:rStyle w:val="IndexLink"/>
                <w:rFonts w:eastAsia="DejaVu Sans" w:eastAsiaTheme="minorEastAsia"/>
                <w:kern w:val="0"/>
                <w:lang w:val="sr-Latn-RS" w:eastAsia="sr-Latn-RS"/>
                <w14:ligatures w14:val="none"/>
              </w:rPr>
              <w:tab/>
            </w:r>
            <w:r>
              <w:rPr>
                <w:rStyle w:val="IndexLink"/>
                <w:rFonts w:cs="Tahoma" w:ascii="Tahoma" w:hAnsi="Tahoma"/>
                <w:lang w:val="sr-RS"/>
              </w:rPr>
              <w:t>Финализација анализе – кључни фактори од значаја за унапређење социјалне заштите у општини Беочин</w:t>
            </w:r>
            <w:r>
              <w:rPr>
                <w:webHidden/>
              </w:rPr>
              <w:fldChar w:fldCharType="begin"/>
            </w:r>
            <w:r>
              <w:rPr>
                <w:webHidden/>
              </w:rPr>
              <w:instrText>PAGEREF _Toc188876955 \h</w:instrText>
            </w:r>
            <w:r>
              <w:rPr>
                <w:webHidden/>
              </w:rPr>
              <w:fldChar w:fldCharType="separate"/>
            </w:r>
            <w:r>
              <w:rPr>
                <w:rStyle w:val="IndexLink"/>
                <w:vanish w:val="false"/>
              </w:rPr>
              <w:tab/>
              <w:t>33</w:t>
            </w:r>
            <w:r>
              <w:rPr>
                <w:webHidden/>
              </w:rPr>
              <w:fldChar w:fldCharType="end"/>
            </w:r>
          </w:hyperlink>
        </w:p>
        <w:p>
          <w:pPr>
            <w:pStyle w:val="Contents1"/>
            <w:tabs>
              <w:tab w:val="clear" w:pos="720"/>
              <w:tab w:val="left" w:pos="440" w:leader="none"/>
              <w:tab w:val="right" w:pos="9350" w:leader="dot"/>
            </w:tabs>
            <w:spacing w:before="0" w:after="0"/>
            <w:rPr>
              <w:rFonts w:eastAsia="DejaVu Sans" w:eastAsiaTheme="minorEastAsia"/>
              <w:kern w:val="0"/>
              <w:lang w:val="sr-Latn-RS" w:eastAsia="sr-Latn-RS"/>
              <w14:ligatures w14:val="none"/>
            </w:rPr>
          </w:pPr>
          <w:hyperlink w:anchor="_Toc188876956">
            <w:r>
              <w:rPr>
                <w:webHidden/>
                <w:rStyle w:val="IndexLink"/>
                <w:rFonts w:cs="Tahoma" w:ascii="Tahoma" w:hAnsi="Tahoma"/>
                <w:b/>
                <w:vanish w:val="false"/>
                <w:lang w:val="sr-RS"/>
              </w:rPr>
              <w:t>4.</w:t>
            </w:r>
            <w:r>
              <w:rPr>
                <w:rStyle w:val="IndexLink"/>
                <w:rFonts w:eastAsia="DejaVu Sans" w:eastAsiaTheme="minorEastAsia"/>
                <w:kern w:val="0"/>
                <w:lang w:val="sr-Latn-RS" w:eastAsia="sr-Latn-RS"/>
                <w14:ligatures w14:val="none"/>
              </w:rPr>
              <w:tab/>
            </w:r>
            <w:r>
              <w:rPr>
                <w:rStyle w:val="IndexLink"/>
                <w:rFonts w:cs="Tahoma" w:ascii="Tahoma" w:hAnsi="Tahoma"/>
                <w:b/>
                <w:lang w:val="sr-RS"/>
              </w:rPr>
              <w:t>Циљеви и мере Програма унапређења социјалне заштите и припрема пратећег Акционог плана</w:t>
            </w:r>
            <w:r>
              <w:rPr>
                <w:webHidden/>
              </w:rPr>
              <w:fldChar w:fldCharType="begin"/>
            </w:r>
            <w:r>
              <w:rPr>
                <w:webHidden/>
              </w:rPr>
              <w:instrText>PAGEREF _Toc188876956 \h</w:instrText>
            </w:r>
            <w:r>
              <w:rPr>
                <w:webHidden/>
              </w:rPr>
              <w:fldChar w:fldCharType="separate"/>
            </w:r>
            <w:r>
              <w:rPr>
                <w:rStyle w:val="IndexLink"/>
                <w:vanish w:val="false"/>
              </w:rPr>
              <w:tab/>
              <w:t>36</w:t>
            </w:r>
            <w:r>
              <w:rPr>
                <w:webHidden/>
              </w:rPr>
              <w:fldChar w:fldCharType="end"/>
            </w:r>
          </w:hyperlink>
        </w:p>
        <w:p>
          <w:pPr>
            <w:pStyle w:val="Contents2"/>
            <w:tabs>
              <w:tab w:val="clear" w:pos="720"/>
              <w:tab w:val="right" w:pos="9350" w:leader="dot"/>
            </w:tabs>
            <w:spacing w:before="0" w:after="0"/>
            <w:rPr>
              <w:rFonts w:eastAsia="DejaVu Sans" w:eastAsiaTheme="minorEastAsia"/>
              <w:kern w:val="0"/>
              <w:lang w:val="sr-Latn-RS" w:eastAsia="sr-Latn-RS"/>
              <w14:ligatures w14:val="none"/>
            </w:rPr>
          </w:pPr>
          <w:hyperlink w:anchor="_Toc188876957">
            <w:r>
              <w:rPr>
                <w:webHidden/>
                <w:rStyle w:val="IndexLink"/>
                <w:rFonts w:cs="Tahoma" w:ascii="Tahoma" w:hAnsi="Tahoma"/>
                <w:vanish w:val="false"/>
                <w:lang w:val="sr-RS"/>
              </w:rPr>
              <w:t>4.1. Циљеви и мере Програма</w:t>
            </w:r>
            <w:r>
              <w:rPr>
                <w:webHidden/>
              </w:rPr>
              <w:fldChar w:fldCharType="begin"/>
            </w:r>
            <w:r>
              <w:rPr>
                <w:webHidden/>
              </w:rPr>
              <w:instrText>PAGEREF _Toc188876957 \h</w:instrText>
            </w:r>
            <w:r>
              <w:rPr>
                <w:webHidden/>
              </w:rPr>
              <w:fldChar w:fldCharType="separate"/>
            </w:r>
            <w:r>
              <w:rPr>
                <w:rStyle w:val="IndexLink"/>
                <w:vanish w:val="false"/>
              </w:rPr>
              <w:tab/>
              <w:t>36</w:t>
            </w:r>
            <w:r>
              <w:rPr>
                <w:webHidden/>
              </w:rPr>
              <w:fldChar w:fldCharType="end"/>
            </w:r>
          </w:hyperlink>
        </w:p>
        <w:p>
          <w:pPr>
            <w:pStyle w:val="Contents2"/>
            <w:tabs>
              <w:tab w:val="clear" w:pos="720"/>
              <w:tab w:val="right" w:pos="9350" w:leader="dot"/>
            </w:tabs>
            <w:spacing w:before="0" w:after="0"/>
            <w:rPr>
              <w:rFonts w:eastAsia="DejaVu Sans" w:eastAsiaTheme="minorEastAsia"/>
              <w:kern w:val="0"/>
              <w:lang w:val="sr-Latn-RS" w:eastAsia="sr-Latn-RS"/>
              <w14:ligatures w14:val="none"/>
            </w:rPr>
          </w:pPr>
          <w:hyperlink w:anchor="_Toc188876958">
            <w:r>
              <w:rPr>
                <w:webHidden/>
                <w:rStyle w:val="IndexLink"/>
                <w:rFonts w:cs="Tahoma" w:ascii="Tahoma" w:hAnsi="Tahoma"/>
                <w:vanish w:val="false"/>
                <w:lang w:val="sr-RS"/>
              </w:rPr>
              <w:t>4.2. Процена финансијских средстава неопходних за реализацију Програма</w:t>
            </w:r>
            <w:r>
              <w:rPr>
                <w:webHidden/>
              </w:rPr>
              <w:fldChar w:fldCharType="begin"/>
            </w:r>
            <w:r>
              <w:rPr>
                <w:webHidden/>
              </w:rPr>
              <w:instrText>PAGEREF _Toc188876958 \h</w:instrText>
            </w:r>
            <w:r>
              <w:rPr>
                <w:webHidden/>
              </w:rPr>
              <w:fldChar w:fldCharType="separate"/>
            </w:r>
            <w:r>
              <w:rPr>
                <w:rStyle w:val="IndexLink"/>
                <w:vanish w:val="false"/>
              </w:rPr>
              <w:tab/>
              <w:t>38</w:t>
            </w:r>
            <w:r>
              <w:rPr>
                <w:webHidden/>
              </w:rPr>
              <w:fldChar w:fldCharType="end"/>
            </w:r>
          </w:hyperlink>
        </w:p>
        <w:p>
          <w:pPr>
            <w:pStyle w:val="Contents1"/>
            <w:tabs>
              <w:tab w:val="clear" w:pos="720"/>
              <w:tab w:val="left" w:pos="440" w:leader="none"/>
              <w:tab w:val="right" w:pos="9350" w:leader="dot"/>
            </w:tabs>
            <w:spacing w:before="0" w:after="0"/>
            <w:rPr>
              <w:rFonts w:eastAsia="DejaVu Sans" w:eastAsiaTheme="minorEastAsia"/>
              <w:kern w:val="0"/>
              <w:lang w:val="sr-Latn-RS" w:eastAsia="sr-Latn-RS"/>
              <w14:ligatures w14:val="none"/>
            </w:rPr>
          </w:pPr>
          <w:hyperlink w:anchor="_Toc188876959">
            <w:r>
              <w:rPr>
                <w:webHidden/>
                <w:rStyle w:val="IndexLink"/>
                <w:rFonts w:cs="Tahoma" w:ascii="Tahoma" w:hAnsi="Tahoma"/>
                <w:b/>
                <w:vanish w:val="false"/>
                <w:lang w:val="sr-RS"/>
              </w:rPr>
              <w:t>5.</w:t>
            </w:r>
            <w:r>
              <w:rPr>
                <w:rStyle w:val="IndexLink"/>
                <w:rFonts w:eastAsia="DejaVu Sans" w:eastAsiaTheme="minorEastAsia"/>
                <w:kern w:val="0"/>
                <w:lang w:val="sr-Latn-RS" w:eastAsia="sr-Latn-RS"/>
                <w14:ligatures w14:val="none"/>
              </w:rPr>
              <w:tab/>
            </w:r>
            <w:r>
              <w:rPr>
                <w:rStyle w:val="IndexLink"/>
                <w:rFonts w:cs="Tahoma" w:ascii="Tahoma" w:hAnsi="Tahoma"/>
                <w:b/>
                <w:lang w:val="sr-RS"/>
              </w:rPr>
              <w:t>Оквир за праћење спровођења, вредновање учинака и извештавање</w:t>
            </w:r>
            <w:r>
              <w:rPr>
                <w:webHidden/>
              </w:rPr>
              <w:fldChar w:fldCharType="begin"/>
            </w:r>
            <w:r>
              <w:rPr>
                <w:webHidden/>
              </w:rPr>
              <w:instrText>PAGEREF _Toc188876959 \h</w:instrText>
            </w:r>
            <w:r>
              <w:rPr>
                <w:webHidden/>
              </w:rPr>
              <w:fldChar w:fldCharType="separate"/>
            </w:r>
            <w:r>
              <w:rPr>
                <w:rStyle w:val="IndexLink"/>
                <w:vanish w:val="false"/>
              </w:rPr>
              <w:tab/>
              <w:t>39</w:t>
            </w:r>
            <w:r>
              <w:rPr>
                <w:webHidden/>
              </w:rPr>
              <w:fldChar w:fldCharType="end"/>
            </w:r>
          </w:hyperlink>
        </w:p>
        <w:p>
          <w:pPr>
            <w:pStyle w:val="Contents1"/>
            <w:tabs>
              <w:tab w:val="clear" w:pos="720"/>
              <w:tab w:val="left" w:pos="440" w:leader="none"/>
              <w:tab w:val="right" w:pos="9350" w:leader="dot"/>
            </w:tabs>
            <w:spacing w:before="0" w:after="0"/>
            <w:rPr>
              <w:rFonts w:eastAsia="DejaVu Sans" w:eastAsiaTheme="minorEastAsia"/>
              <w:kern w:val="0"/>
              <w:lang w:val="sr-Latn-RS" w:eastAsia="sr-Latn-RS"/>
              <w14:ligatures w14:val="none"/>
            </w:rPr>
          </w:pPr>
          <w:hyperlink w:anchor="_Toc188876960">
            <w:r>
              <w:rPr>
                <w:webHidden/>
                <w:rStyle w:val="IndexLink"/>
                <w:rFonts w:cs="Tahoma" w:ascii="Tahoma" w:hAnsi="Tahoma"/>
                <w:b/>
                <w:vanish w:val="false"/>
                <w:lang w:val="sr-RS"/>
              </w:rPr>
              <w:t>6.</w:t>
            </w:r>
            <w:r>
              <w:rPr>
                <w:rStyle w:val="IndexLink"/>
                <w:rFonts w:eastAsia="DejaVu Sans" w:eastAsiaTheme="minorEastAsia"/>
                <w:kern w:val="0"/>
                <w:lang w:val="sr-Latn-RS" w:eastAsia="sr-Latn-RS"/>
                <w14:ligatures w14:val="none"/>
              </w:rPr>
              <w:tab/>
            </w:r>
            <w:r>
              <w:rPr>
                <w:rStyle w:val="IndexLink"/>
                <w:rFonts w:cs="Tahoma" w:ascii="Tahoma" w:hAnsi="Tahoma"/>
                <w:b/>
                <w:lang w:val="sr-RS"/>
              </w:rPr>
              <w:t>Акциони план</w:t>
            </w:r>
            <w:r>
              <w:rPr>
                <w:webHidden/>
              </w:rPr>
              <w:fldChar w:fldCharType="begin"/>
            </w:r>
            <w:r>
              <w:rPr>
                <w:webHidden/>
              </w:rPr>
              <w:instrText>PAGEREF _Toc188876960 \h</w:instrText>
            </w:r>
            <w:r>
              <w:rPr>
                <w:webHidden/>
              </w:rPr>
              <w:fldChar w:fldCharType="separate"/>
            </w:r>
            <w:r>
              <w:rPr>
                <w:rStyle w:val="IndexLink"/>
                <w:vanish w:val="false"/>
              </w:rPr>
              <w:tab/>
              <w:t>41</w:t>
            </w:r>
            <w:r>
              <w:rPr>
                <w:webHidden/>
              </w:rPr>
              <w:fldChar w:fldCharType="end"/>
            </w:r>
          </w:hyperlink>
        </w:p>
        <w:p>
          <w:pPr>
            <w:pStyle w:val="Contents1"/>
            <w:tabs>
              <w:tab w:val="clear" w:pos="720"/>
              <w:tab w:val="left" w:pos="440" w:leader="none"/>
              <w:tab w:val="right" w:pos="9350" w:leader="dot"/>
            </w:tabs>
            <w:spacing w:before="0" w:after="0"/>
            <w:rPr>
              <w:rFonts w:eastAsia="DejaVu Sans" w:eastAsiaTheme="minorEastAsia"/>
              <w:kern w:val="0"/>
              <w:lang w:val="sr-Latn-RS" w:eastAsia="sr-Latn-RS"/>
              <w14:ligatures w14:val="none"/>
            </w:rPr>
          </w:pPr>
          <w:hyperlink w:anchor="_Toc188876961">
            <w:r>
              <w:rPr>
                <w:webHidden/>
                <w:rStyle w:val="IndexLink"/>
                <w:rFonts w:cs="Tahoma" w:ascii="Tahoma" w:hAnsi="Tahoma"/>
                <w:b/>
                <w:vanish w:val="false"/>
                <w:lang w:val="sr-RS"/>
              </w:rPr>
              <w:t>7.</w:t>
            </w:r>
            <w:r>
              <w:rPr>
                <w:rStyle w:val="IndexLink"/>
                <w:rFonts w:eastAsia="DejaVu Sans" w:eastAsiaTheme="minorEastAsia"/>
                <w:kern w:val="0"/>
                <w:lang w:val="sr-Latn-RS" w:eastAsia="sr-Latn-RS"/>
                <w14:ligatures w14:val="none"/>
              </w:rPr>
              <w:tab/>
            </w:r>
            <w:r>
              <w:rPr>
                <w:rStyle w:val="IndexLink"/>
                <w:rFonts w:cs="Tahoma" w:ascii="Tahoma" w:hAnsi="Tahoma"/>
                <w:b/>
                <w:lang w:val="sr-RS"/>
              </w:rPr>
              <w:t>Прилози</w:t>
            </w:r>
            <w:r>
              <w:rPr>
                <w:webHidden/>
              </w:rPr>
              <w:fldChar w:fldCharType="begin"/>
            </w:r>
            <w:r>
              <w:rPr>
                <w:webHidden/>
              </w:rPr>
              <w:instrText>PAGEREF _Toc188876961 \h</w:instrText>
            </w:r>
            <w:r>
              <w:rPr>
                <w:webHidden/>
              </w:rPr>
              <w:fldChar w:fldCharType="separate"/>
            </w:r>
            <w:r>
              <w:rPr>
                <w:rStyle w:val="IndexLink"/>
                <w:vanish w:val="false"/>
              </w:rPr>
              <w:tab/>
              <w:t>54</w:t>
            </w:r>
            <w:r>
              <w:rPr>
                <w:webHidden/>
              </w:rPr>
              <w:fldChar w:fldCharType="end"/>
            </w:r>
          </w:hyperlink>
        </w:p>
        <w:p>
          <w:pPr>
            <w:pStyle w:val="Contents2"/>
            <w:tabs>
              <w:tab w:val="clear" w:pos="720"/>
              <w:tab w:val="right" w:pos="9350" w:leader="dot"/>
            </w:tabs>
            <w:spacing w:before="0" w:after="0"/>
            <w:rPr>
              <w:rFonts w:eastAsia="DejaVu Sans" w:eastAsiaTheme="minorEastAsia"/>
              <w:kern w:val="0"/>
              <w:lang w:val="sr-Latn-RS" w:eastAsia="sr-Latn-RS"/>
              <w14:ligatures w14:val="none"/>
            </w:rPr>
          </w:pPr>
          <w:hyperlink w:anchor="_Toc188876962">
            <w:r>
              <w:rPr>
                <w:webHidden/>
                <w:rStyle w:val="IndexLink"/>
                <w:rFonts w:cs="Tahoma" w:ascii="Tahoma" w:hAnsi="Tahoma"/>
                <w:vanish w:val="false"/>
                <w:lang w:val="sr-RS"/>
              </w:rPr>
              <w:t>Прилог 1 – Табеларни прегледи корисника права на социјалну заштиту у општини Беочин</w:t>
            </w:r>
            <w:r>
              <w:rPr>
                <w:webHidden/>
              </w:rPr>
              <w:fldChar w:fldCharType="begin"/>
            </w:r>
            <w:r>
              <w:rPr>
                <w:webHidden/>
              </w:rPr>
              <w:instrText>PAGEREF _Toc188876962 \h</w:instrText>
            </w:r>
            <w:r>
              <w:rPr>
                <w:webHidden/>
              </w:rPr>
              <w:fldChar w:fldCharType="separate"/>
            </w:r>
            <w:r>
              <w:rPr>
                <w:rStyle w:val="IndexLink"/>
                <w:vanish w:val="false"/>
              </w:rPr>
              <w:tab/>
              <w:t>54</w:t>
            </w:r>
            <w:r>
              <w:rPr>
                <w:webHidden/>
              </w:rPr>
              <w:fldChar w:fldCharType="end"/>
            </w:r>
          </w:hyperlink>
        </w:p>
        <w:p>
          <w:pPr>
            <w:pStyle w:val="Contents2"/>
            <w:tabs>
              <w:tab w:val="clear" w:pos="720"/>
              <w:tab w:val="right" w:pos="9350" w:leader="dot"/>
            </w:tabs>
            <w:spacing w:before="0" w:after="0"/>
            <w:rPr>
              <w:rFonts w:eastAsia="DejaVu Sans" w:eastAsiaTheme="minorEastAsia"/>
              <w:kern w:val="0"/>
              <w:lang w:val="sr-Latn-RS" w:eastAsia="sr-Latn-RS"/>
              <w14:ligatures w14:val="none"/>
            </w:rPr>
          </w:pPr>
          <w:hyperlink w:anchor="_Toc188876963">
            <w:r>
              <w:rPr>
                <w:webHidden/>
                <w:rStyle w:val="IndexLink"/>
                <w:rFonts w:cs="Tahoma" w:ascii="Tahoma" w:hAnsi="Tahoma"/>
                <w:vanish w:val="false"/>
                <w:lang w:val="sr-RS"/>
              </w:rPr>
              <w:t>Прилог 2 – Табеларни прегледи финансирања социјалне заштите у општини Беочин</w:t>
            </w:r>
            <w:r>
              <w:rPr>
                <w:webHidden/>
              </w:rPr>
              <w:fldChar w:fldCharType="begin"/>
            </w:r>
            <w:r>
              <w:rPr>
                <w:webHidden/>
              </w:rPr>
              <w:instrText>PAGEREF _Toc188876963 \h</w:instrText>
            </w:r>
            <w:r>
              <w:rPr>
                <w:webHidden/>
              </w:rPr>
              <w:fldChar w:fldCharType="separate"/>
            </w:r>
            <w:r>
              <w:rPr>
                <w:rStyle w:val="IndexLink"/>
                <w:vanish w:val="false"/>
              </w:rPr>
              <w:tab/>
              <w:t>57</w:t>
            </w:r>
            <w:r>
              <w:rPr>
                <w:webHidden/>
              </w:rPr>
              <w:fldChar w:fldCharType="end"/>
            </w:r>
          </w:hyperlink>
        </w:p>
        <w:p>
          <w:pPr>
            <w:pStyle w:val="Contents2"/>
            <w:tabs>
              <w:tab w:val="clear" w:pos="720"/>
              <w:tab w:val="right" w:pos="9350" w:leader="dot"/>
            </w:tabs>
            <w:spacing w:before="0" w:after="0"/>
            <w:rPr>
              <w:rFonts w:eastAsia="DejaVu Sans" w:eastAsiaTheme="minorEastAsia"/>
              <w:kern w:val="0"/>
              <w:lang w:val="sr-Latn-RS" w:eastAsia="sr-Latn-RS"/>
              <w14:ligatures w14:val="none"/>
            </w:rPr>
          </w:pPr>
          <w:hyperlink w:anchor="_Toc188876964">
            <w:r>
              <w:rPr>
                <w:webHidden/>
                <w:rStyle w:val="IndexLink"/>
                <w:rFonts w:cs="Tahoma" w:ascii="Tahoma" w:hAnsi="Tahoma"/>
                <w:vanish w:val="false"/>
                <w:lang w:val="sr-RS"/>
              </w:rPr>
              <w:t>Прилог 3 – Институционални капацитети за обезбеђивање социјалне заштите</w:t>
            </w:r>
            <w:r>
              <w:rPr>
                <w:webHidden/>
              </w:rPr>
              <w:fldChar w:fldCharType="begin"/>
            </w:r>
            <w:r>
              <w:rPr>
                <w:webHidden/>
              </w:rPr>
              <w:instrText>PAGEREF _Toc188876964 \h</w:instrText>
            </w:r>
            <w:r>
              <w:rPr>
                <w:webHidden/>
              </w:rPr>
              <w:fldChar w:fldCharType="separate"/>
            </w:r>
            <w:r>
              <w:rPr>
                <w:rStyle w:val="IndexLink"/>
                <w:vanish w:val="false"/>
              </w:rPr>
              <w:tab/>
              <w:t>57</w:t>
            </w:r>
            <w:r>
              <w:rPr>
                <w:webHidden/>
              </w:rPr>
              <w:fldChar w:fldCharType="end"/>
            </w:r>
          </w:hyperlink>
        </w:p>
        <w:p>
          <w:pPr>
            <w:pStyle w:val="Contents2"/>
            <w:tabs>
              <w:tab w:val="clear" w:pos="720"/>
              <w:tab w:val="right" w:pos="9350" w:leader="dot"/>
            </w:tabs>
            <w:spacing w:before="0" w:after="0"/>
            <w:rPr>
              <w:rFonts w:eastAsia="DejaVu Sans" w:eastAsiaTheme="minorEastAsia"/>
              <w:kern w:val="0"/>
              <w:lang w:val="sr-Latn-RS" w:eastAsia="sr-Latn-RS"/>
              <w14:ligatures w14:val="none"/>
            </w:rPr>
          </w:pPr>
          <w:hyperlink w:anchor="_Toc188876965">
            <w:r>
              <w:rPr>
                <w:webHidden/>
                <w:rStyle w:val="IndexLink"/>
                <w:rFonts w:cs="Tahoma" w:ascii="Tahoma" w:hAnsi="Tahoma"/>
                <w:vanish w:val="false"/>
                <w:lang w:val="sr-RS"/>
              </w:rPr>
              <w:t>Прилог 4 - Резултати спроведених консултација и јавне расправе</w:t>
            </w:r>
            <w:r>
              <w:rPr>
                <w:webHidden/>
              </w:rPr>
              <w:fldChar w:fldCharType="begin"/>
            </w:r>
            <w:r>
              <w:rPr>
                <w:webHidden/>
              </w:rPr>
              <w:instrText>PAGEREF _Toc188876965 \h</w:instrText>
            </w:r>
            <w:r>
              <w:rPr>
                <w:webHidden/>
              </w:rPr>
              <w:fldChar w:fldCharType="separate"/>
            </w:r>
            <w:r>
              <w:rPr>
                <w:rStyle w:val="IndexLink"/>
                <w:vanish w:val="false"/>
              </w:rPr>
              <w:tab/>
              <w:t>62</w:t>
            </w:r>
            <w:r>
              <w:rPr>
                <w:webHidden/>
              </w:rPr>
              <w:fldChar w:fldCharType="end"/>
            </w:r>
          </w:hyperlink>
        </w:p>
        <w:p>
          <w:pPr>
            <w:pStyle w:val="Normal"/>
            <w:spacing w:lineRule="auto" w:line="240" w:before="0" w:after="0"/>
            <w:rPr>
              <w:rFonts w:ascii="Tahoma" w:hAnsi="Tahoma" w:eastAsia="DejaVu Sans" w:cs="Tahoma" w:eastAsiaTheme="minorEastAsia"/>
              <w:bCs/>
              <w:sz w:val="20"/>
              <w:lang w:val="sr-RS"/>
            </w:rPr>
          </w:pPr>
          <w:r>
            <w:rPr>
              <w:rFonts w:eastAsia="DejaVu Sans" w:cs="Tahoma" w:eastAsiaTheme="minorEastAsia" w:ascii="Tahoma" w:hAnsi="Tahoma"/>
              <w:bCs/>
              <w:sz w:val="20"/>
              <w:lang w:val="sr-RS"/>
            </w:rPr>
          </w:r>
          <w:r>
            <w:rPr>
              <w:sz w:val="20"/>
              <w:bCs/>
              <w:rFonts w:eastAsia="DejaVu Sans" w:cs="Tahoma" w:ascii="Tahoma" w:hAnsi="Tahoma"/>
              <w:lang w:val="sr-RS"/>
            </w:rPr>
            <w:fldChar w:fldCharType="end"/>
          </w:r>
        </w:p>
      </w:sdtContent>
    </w:sdt>
    <w:p>
      <w:pPr>
        <w:pStyle w:val="Normal"/>
        <w:spacing w:lineRule="auto" w:line="240" w:before="0" w:after="0"/>
        <w:rPr>
          <w:rFonts w:ascii="Tahoma" w:hAnsi="Tahoma" w:cs="Tahoma"/>
          <w:sz w:val="20"/>
          <w:lang w:val="sr-RS"/>
        </w:rPr>
      </w:pPr>
      <w:r>
        <w:rPr>
          <w:rFonts w:cs="Tahoma" w:ascii="Tahoma" w:hAnsi="Tahoma"/>
          <w:sz w:val="20"/>
          <w:lang w:val="sr-RS"/>
        </w:rPr>
      </w:r>
    </w:p>
    <w:p>
      <w:pPr>
        <w:pStyle w:val="Normal"/>
        <w:spacing w:lineRule="auto" w:line="240"/>
        <w:rPr>
          <w:rFonts w:ascii="Tahoma" w:hAnsi="Tahoma" w:cs="Tahoma"/>
          <w:sz w:val="20"/>
          <w:lang w:val="sr-RS"/>
        </w:rPr>
      </w:pPr>
      <w:r>
        <w:rPr>
          <w:rFonts w:cs="Tahoma" w:ascii="Tahoma" w:hAnsi="Tahoma"/>
          <w:sz w:val="20"/>
          <w:lang w:val="sr-RS"/>
        </w:rPr>
      </w:r>
    </w:p>
    <w:p>
      <w:pPr>
        <w:pStyle w:val="Normal"/>
        <w:spacing w:lineRule="auto" w:line="240"/>
        <w:rPr>
          <w:rFonts w:ascii="Tahoma" w:hAnsi="Tahoma" w:cs="Tahoma"/>
          <w:sz w:val="20"/>
          <w:lang w:val="sr-RS"/>
        </w:rPr>
      </w:pPr>
      <w:r>
        <w:rPr>
          <w:rFonts w:cs="Tahoma" w:ascii="Tahoma" w:hAnsi="Tahoma"/>
          <w:sz w:val="20"/>
          <w:lang w:val="sr-RS"/>
        </w:rPr>
      </w:r>
    </w:p>
    <w:p>
      <w:pPr>
        <w:pStyle w:val="Normal"/>
        <w:spacing w:lineRule="auto" w:line="240"/>
        <w:rPr>
          <w:rFonts w:ascii="Tahoma" w:hAnsi="Tahoma" w:cs="Tahoma"/>
          <w:sz w:val="20"/>
          <w:lang w:val="sr-RS"/>
        </w:rPr>
      </w:pPr>
      <w:r>
        <w:rPr>
          <w:rFonts w:cs="Tahoma" w:ascii="Tahoma" w:hAnsi="Tahoma"/>
          <w:sz w:val="20"/>
          <w:lang w:val="sr-RS"/>
        </w:rPr>
      </w:r>
    </w:p>
    <w:p>
      <w:pPr>
        <w:pStyle w:val="Normal"/>
        <w:spacing w:lineRule="auto" w:line="240"/>
        <w:jc w:val="both"/>
        <w:rPr>
          <w:rFonts w:ascii="Tahoma" w:hAnsi="Tahoma" w:cs="Tahoma"/>
          <w:color w:val="004F88"/>
          <w:sz w:val="20"/>
          <w:lang w:val="sr-RS"/>
        </w:rPr>
      </w:pPr>
      <w:r>
        <w:rPr>
          <w:rFonts w:cs="Tahoma" w:ascii="Tahoma" w:hAnsi="Tahoma"/>
          <w:color w:val="004F88"/>
          <w:sz w:val="20"/>
          <w:lang w:val="sr-RS"/>
        </w:rPr>
        <w:t>Листа скраћеница</w:t>
      </w:r>
    </w:p>
    <w:p>
      <w:pPr>
        <w:pStyle w:val="Normal"/>
        <w:spacing w:lineRule="auto" w:line="240"/>
        <w:rPr>
          <w:rFonts w:ascii="Tahoma" w:hAnsi="Tahoma" w:cs="Tahoma"/>
          <w:b/>
          <w:b/>
          <w:bCs/>
          <w:color w:val="004F88"/>
          <w:sz w:val="20"/>
          <w:lang w:val="sr-RS"/>
        </w:rPr>
      </w:pPr>
      <w:r>
        <w:rPr>
          <w:rFonts w:cs="Tahoma" w:ascii="Tahoma" w:hAnsi="Tahoma"/>
          <w:b/>
          <w:bCs/>
          <w:color w:val="004F88"/>
          <w:sz w:val="20"/>
          <w:lang w:val="sr-RS"/>
        </w:rPr>
      </w:r>
    </w:p>
    <w:tbl>
      <w:tblPr>
        <w:tblStyle w:val="TableGrid"/>
        <w:tblW w:w="9350"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553"/>
        <w:gridCol w:w="7796"/>
      </w:tblGrid>
      <w:tr>
        <w:trPr/>
        <w:tc>
          <w:tcPr>
            <w:tcW w:w="1553" w:type="dxa"/>
            <w:tcBorders/>
            <w:shd w:color="auto" w:fill="D9E2F3" w:themeFill="accent1" w:themeFillTint="33" w:val="clear"/>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Скраћеница</w:t>
            </w:r>
          </w:p>
        </w:tc>
        <w:tc>
          <w:tcPr>
            <w:tcW w:w="7796" w:type="dxa"/>
            <w:tcBorders/>
            <w:shd w:color="auto" w:fill="D9E2F3" w:themeFill="accent1" w:themeFillTint="33" w:val="clear"/>
          </w:tcPr>
          <w:p>
            <w:pPr>
              <w:pStyle w:val="Normal"/>
              <w:widowControl w:val="false"/>
              <w:suppressAutoHyphens w:val="true"/>
              <w:spacing w:lineRule="auto" w:line="240" w:before="0" w:after="0"/>
              <w:jc w:val="center"/>
              <w:rPr>
                <w:rFonts w:ascii="Tahoma" w:hAnsi="Tahoma" w:cs="Tahoma"/>
                <w:sz w:val="20"/>
                <w:lang w:val="sr-RS"/>
              </w:rPr>
            </w:pPr>
            <w:r>
              <w:rPr>
                <w:rFonts w:eastAsia="Calibri" w:cs="Tahoma" w:ascii="Tahoma" w:hAnsi="Tahoma"/>
                <w:kern w:val="2"/>
                <w:sz w:val="20"/>
                <w:szCs w:val="22"/>
                <w:lang w:val="sr-RS" w:eastAsia="en-US" w:bidi="ar-SA"/>
              </w:rPr>
              <w:t>Пун назив</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АП</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Акциони план</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ДЗ</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Дом здравља</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ЈЛС</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Јединица локалне самоуправе</w:t>
            </w:r>
          </w:p>
        </w:tc>
      </w:tr>
      <w:tr>
        <w:trPr/>
        <w:tc>
          <w:tcPr>
            <w:tcW w:w="1553"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НСП</w:t>
            </w:r>
          </w:p>
        </w:tc>
        <w:tc>
          <w:tcPr>
            <w:tcW w:w="7796"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Новчана социјална помоћ</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ОУ</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Општинска управа</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СКГО</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Стална конференција градова и општина-Савез градова и општина Србије</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СЗ</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Социјална заштита</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ОШ</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Основна школа</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РС</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Република Србија</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РСЈП</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Републички секретаријат за јавне политике</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РЗС</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Републички завод за статистику</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ЦСР</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Центар  за социјални  рад</w:t>
            </w:r>
          </w:p>
        </w:tc>
      </w:tr>
      <w:tr>
        <w:trPr/>
        <w:tc>
          <w:tcPr>
            <w:tcW w:w="1553"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ЗПС</w:t>
            </w:r>
          </w:p>
        </w:tc>
        <w:tc>
          <w:tcPr>
            <w:tcW w:w="7796"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Закон о планском систему</w:t>
            </w:r>
          </w:p>
        </w:tc>
      </w:tr>
    </w:tbl>
    <w:p>
      <w:pPr>
        <w:pStyle w:val="Normal"/>
        <w:spacing w:lineRule="auto" w:line="240"/>
        <w:rPr>
          <w:rFonts w:ascii="Tahoma" w:hAnsi="Tahoma" w:cs="Tahoma"/>
          <w:b/>
          <w:b/>
          <w:bCs/>
          <w:color w:val="004F88"/>
          <w:sz w:val="20"/>
          <w:lang w:val="sr-RS"/>
        </w:rPr>
      </w:pPr>
      <w:r>
        <w:rPr>
          <w:rFonts w:cs="Tahoma" w:ascii="Tahoma" w:hAnsi="Tahoma"/>
          <w:b/>
          <w:bCs/>
          <w:color w:val="004F88"/>
          <w:sz w:val="20"/>
          <w:lang w:val="sr-RS"/>
        </w:rPr>
      </w:r>
    </w:p>
    <w:p>
      <w:pPr>
        <w:pStyle w:val="Normal"/>
        <w:spacing w:lineRule="auto" w:line="240"/>
        <w:rPr>
          <w:rFonts w:ascii="Tahoma" w:hAnsi="Tahoma" w:cs="Tahoma"/>
          <w:b/>
          <w:b/>
          <w:bCs/>
          <w:color w:val="004F88"/>
          <w:sz w:val="20"/>
          <w:lang w:val="sr-RS"/>
        </w:rPr>
      </w:pPr>
      <w:r>
        <w:rPr>
          <w:rFonts w:cs="Tahoma" w:ascii="Tahoma" w:hAnsi="Tahoma"/>
          <w:b/>
          <w:bCs/>
          <w:color w:val="004F88"/>
          <w:sz w:val="20"/>
          <w:lang w:val="sr-RS"/>
        </w:rPr>
      </w:r>
    </w:p>
    <w:p>
      <w:pPr>
        <w:pStyle w:val="Normal"/>
        <w:spacing w:lineRule="auto" w:line="240"/>
        <w:rPr>
          <w:rFonts w:ascii="Tahoma" w:hAnsi="Tahoma" w:cs="Tahoma"/>
          <w:b/>
          <w:b/>
          <w:bCs/>
          <w:color w:val="004F88"/>
          <w:sz w:val="20"/>
          <w:lang w:val="sr-RS"/>
        </w:rPr>
      </w:pPr>
      <w:r>
        <w:rPr>
          <w:rFonts w:cs="Tahoma" w:ascii="Tahoma" w:hAnsi="Tahoma"/>
          <w:b/>
          <w:bCs/>
          <w:color w:val="004F88"/>
          <w:sz w:val="20"/>
          <w:lang w:val="sr-RS"/>
        </w:rPr>
      </w:r>
    </w:p>
    <w:p>
      <w:pPr>
        <w:pStyle w:val="Normal"/>
        <w:spacing w:lineRule="auto" w:line="240"/>
        <w:rPr>
          <w:rFonts w:ascii="Tahoma" w:hAnsi="Tahoma" w:cs="Tahoma"/>
          <w:b/>
          <w:b/>
          <w:bCs/>
          <w:color w:val="004F88"/>
          <w:sz w:val="20"/>
          <w:lang w:val="sr-RS"/>
        </w:rPr>
      </w:pPr>
      <w:r>
        <w:rPr>
          <w:rFonts w:cs="Tahoma" w:ascii="Tahoma" w:hAnsi="Tahoma"/>
          <w:b/>
          <w:bCs/>
          <w:color w:val="004F88"/>
          <w:sz w:val="20"/>
          <w:lang w:val="sr-RS"/>
        </w:rPr>
      </w:r>
    </w:p>
    <w:p>
      <w:pPr>
        <w:pStyle w:val="Normal"/>
        <w:spacing w:lineRule="auto" w:line="240"/>
        <w:rPr>
          <w:rFonts w:ascii="Tahoma" w:hAnsi="Tahoma" w:cs="Tahoma"/>
          <w:b/>
          <w:b/>
          <w:bCs/>
          <w:color w:val="004F88"/>
          <w:sz w:val="20"/>
          <w:lang w:val="sr-RS"/>
        </w:rPr>
      </w:pPr>
      <w:r>
        <w:rPr>
          <w:rFonts w:cs="Tahoma" w:ascii="Tahoma" w:hAnsi="Tahoma"/>
          <w:b/>
          <w:bCs/>
          <w:color w:val="004F88"/>
          <w:sz w:val="20"/>
          <w:lang w:val="sr-RS"/>
        </w:rPr>
      </w:r>
    </w:p>
    <w:p>
      <w:pPr>
        <w:pStyle w:val="Normal"/>
        <w:rPr>
          <w:rFonts w:ascii="Tahoma" w:hAnsi="Tahoma" w:cs="Tahoma"/>
          <w:b/>
          <w:b/>
          <w:bCs/>
          <w:color w:val="004F88"/>
          <w:sz w:val="20"/>
          <w:lang w:val="sr-RS"/>
        </w:rPr>
      </w:pPr>
      <w:r>
        <w:rPr>
          <w:rFonts w:cs="Tahoma" w:ascii="Tahoma" w:hAnsi="Tahoma"/>
          <w:b/>
          <w:bCs/>
          <w:color w:val="004F88"/>
          <w:sz w:val="20"/>
          <w:lang w:val="sr-RS"/>
        </w:rPr>
      </w:r>
      <w:r>
        <w:br w:type="page"/>
      </w:r>
    </w:p>
    <w:p>
      <w:pPr>
        <w:pStyle w:val="Heading1"/>
        <w:spacing w:before="0" w:after="0"/>
        <w:rPr>
          <w:rFonts w:ascii="Tahoma" w:hAnsi="Tahoma" w:cs="Tahoma"/>
          <w:b/>
          <w:b/>
          <w:sz w:val="28"/>
          <w:szCs w:val="28"/>
          <w:lang w:val="sr-RS"/>
        </w:rPr>
      </w:pPr>
      <w:bookmarkStart w:id="0" w:name="_Toc182852916"/>
      <w:bookmarkStart w:id="1" w:name="_Toc188876937"/>
      <w:r>
        <w:rPr>
          <w:rFonts w:cs="Tahoma" w:ascii="Tahoma" w:hAnsi="Tahoma"/>
          <w:b/>
          <w:sz w:val="28"/>
          <w:szCs w:val="28"/>
          <w:lang w:val="sr-RS"/>
        </w:rPr>
        <w:t>Уводна реч Председнице општине</w:t>
      </w:r>
      <w:bookmarkEnd w:id="0"/>
      <w:bookmarkEnd w:id="1"/>
    </w:p>
    <w:p>
      <w:pPr>
        <w:pStyle w:val="Normal"/>
        <w:shd w:val="clear" w:color="auto" w:fill="FFFFFF"/>
        <w:spacing w:lineRule="auto" w:line="240" w:before="0" w:after="225"/>
        <w:jc w:val="both"/>
        <w:rPr>
          <w:rFonts w:ascii="Arial" w:hAnsi="Arial" w:eastAsia="Times New Roman" w:cs="Arial"/>
          <w:color w:val="000000"/>
          <w:kern w:val="0"/>
          <w:sz w:val="21"/>
          <w:szCs w:val="21"/>
          <w:highlight w:val="yellow"/>
          <w:lang w:val="sr-Latn-RS" w:eastAsia="sr-Latn-RS"/>
          <w14:ligatures w14:val="none"/>
        </w:rPr>
      </w:pPr>
      <w:r>
        <w:rPr>
          <w:rFonts w:eastAsia="Times New Roman" w:cs="Arial"/>
          <w:color w:val="000000"/>
          <w:kern w:val="0"/>
          <w:sz w:val="21"/>
          <w:szCs w:val="21"/>
          <w:highlight w:val="yellow"/>
          <w:lang w:val="sr-Latn-RS" w:eastAsia="sr-Latn-RS"/>
          <w14:ligatures w14:val="none"/>
        </w:rPr>
      </w:r>
    </w:p>
    <w:p>
      <w:pPr>
        <w:pStyle w:val="Normal"/>
        <w:shd w:val="clear" w:color="auto" w:fill="FFFFFF"/>
        <w:spacing w:lineRule="auto" w:line="240" w:before="0" w:after="225"/>
        <w:jc w:val="both"/>
        <w:rPr>
          <w:shd w:fill="auto" w:val="clear"/>
          <w14:ligatures w14:val="none"/>
        </w:rPr>
      </w:pPr>
      <w:r>
        <mc:AlternateContent>
          <mc:Choice Requires="wps">
            <w:drawing>
              <wp:anchor behindDoc="0" distT="40005" distB="50800" distL="109220" distR="135890" simplePos="0" locked="0" layoutInCell="0" allowOverlap="1" relativeHeight="7" wp14:anchorId="5B21C121">
                <wp:simplePos x="0" y="0"/>
                <wp:positionH relativeFrom="column">
                  <wp:posOffset>3594100</wp:posOffset>
                </wp:positionH>
                <wp:positionV relativeFrom="paragraph">
                  <wp:posOffset>9525</wp:posOffset>
                </wp:positionV>
                <wp:extent cx="2202815" cy="1494155"/>
                <wp:effectExtent l="5080" t="5080" r="5080" b="5080"/>
                <wp:wrapSquare wrapText="bothSides"/>
                <wp:docPr id="2" name="Text Box 2"/>
                <a:graphic xmlns:a="http://schemas.openxmlformats.org/drawingml/2006/main">
                  <a:graphicData uri="http://schemas.microsoft.com/office/word/2010/wordprocessingShape">
                    <wps:wsp>
                      <wps:cNvSpPr/>
                      <wps:spPr>
                        <a:xfrm>
                          <a:off x="0" y="0"/>
                          <a:ext cx="2202120" cy="1493640"/>
                        </a:xfrm>
                        <a:prstGeom prst="rect">
                          <a:avLst/>
                        </a:prstGeom>
                        <a:solidFill>
                          <a:srgbClr val="ffffff"/>
                        </a:solidFill>
                        <a:ln w="9525">
                          <a:solidFill>
                            <a:srgbClr val="000000"/>
                          </a:solidFill>
                          <a:miter/>
                        </a:ln>
                      </wps:spPr>
                      <wps:style>
                        <a:lnRef idx="0"/>
                        <a:fillRef idx="0"/>
                        <a:effectRef idx="0"/>
                        <a:fontRef idx="minor"/>
                      </wps:style>
                      <wps:txbx>
                        <w:txbxContent>
                          <w:p>
                            <w:pPr>
                              <w:pStyle w:val="FrameContents"/>
                              <w:jc w:val="center"/>
                              <w:rPr>
                                <w:lang w:val="sr-RS"/>
                              </w:rPr>
                            </w:pPr>
                            <w:r>
                              <w:rPr>
                                <w:lang w:val="sr-RS"/>
                              </w:rPr>
                            </w:r>
                          </w:p>
                          <w:p>
                            <w:pPr>
                              <w:pStyle w:val="FrameContents"/>
                              <w:spacing w:before="0" w:after="160"/>
                              <w:jc w:val="center"/>
                              <w:rPr>
                                <w:color w:val="000000"/>
                              </w:rPr>
                            </w:pPr>
                            <w:r>
                              <w:rPr>
                                <w:color w:val="000000"/>
                                <w:lang w:val="sr-RS"/>
                              </w:rPr>
                              <w:t xml:space="preserve"> </w:t>
                            </w:r>
                            <w:r>
                              <w:rPr>
                                <w:color w:val="000000"/>
                                <w:lang w:val="sr-RS"/>
                              </w:rPr>
                              <w:t>Председнице општине</w:t>
                            </w:r>
                          </w:p>
                        </w:txbxContent>
                      </wps:txbx>
                      <wps:bodyPr>
                        <a:noAutofit/>
                      </wps:bodyPr>
                    </wps:wsp>
                  </a:graphicData>
                </a:graphic>
              </wp:anchor>
            </w:drawing>
          </mc:Choice>
          <mc:Fallback>
            <w:pict>
              <v:rect id="shape_0" ID="Text Box 2" fillcolor="white" stroked="t" style="position:absolute;margin-left:283pt;margin-top:0.75pt;width:173.35pt;height:117.55pt;mso-wrap-style:square;v-text-anchor:top" wp14:anchorId="5B21C121">
                <v:fill o:detectmouseclick="t" type="solid" color2="black"/>
                <v:stroke color="black" weight="9360" joinstyle="miter" endcap="flat"/>
                <v:textbox>
                  <w:txbxContent>
                    <w:p>
                      <w:pPr>
                        <w:pStyle w:val="FrameContents"/>
                        <w:jc w:val="center"/>
                        <w:rPr>
                          <w:lang w:val="sr-RS"/>
                        </w:rPr>
                      </w:pPr>
                      <w:r>
                        <w:rPr>
                          <w:lang w:val="sr-RS"/>
                        </w:rPr>
                      </w:r>
                    </w:p>
                    <w:p>
                      <w:pPr>
                        <w:pStyle w:val="FrameContents"/>
                        <w:spacing w:before="0" w:after="160"/>
                        <w:jc w:val="center"/>
                        <w:rPr>
                          <w:color w:val="000000"/>
                        </w:rPr>
                      </w:pPr>
                      <w:r>
                        <w:rPr>
                          <w:color w:val="000000"/>
                          <w:lang w:val="sr-RS"/>
                        </w:rPr>
                        <w:t xml:space="preserve"> </w:t>
                      </w:r>
                      <w:r>
                        <w:rPr>
                          <w:color w:val="000000"/>
                          <w:lang w:val="sr-RS"/>
                        </w:rPr>
                        <w:t>Председнице општине</w:t>
                      </w:r>
                    </w:p>
                  </w:txbxContent>
                </v:textbox>
                <w10:wrap type="square"/>
              </v:rect>
            </w:pict>
          </mc:Fallback>
        </mc:AlternateContent>
        <w:drawing>
          <wp:anchor behindDoc="0" distT="0" distB="0" distL="0" distR="0" simplePos="0" locked="0" layoutInCell="0" allowOverlap="1" relativeHeight="8">
            <wp:simplePos x="0" y="0"/>
            <wp:positionH relativeFrom="column">
              <wp:posOffset>3695700</wp:posOffset>
            </wp:positionH>
            <wp:positionV relativeFrom="paragraph">
              <wp:posOffset>76200</wp:posOffset>
            </wp:positionV>
            <wp:extent cx="2019935" cy="1286510"/>
            <wp:effectExtent l="0" t="0" r="0" b="0"/>
            <wp:wrapNone/>
            <wp:docPr id="4" name="Image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 descr="" title=""/>
                    <pic:cNvPicPr>
                      <a:picLocks noChangeAspect="1" noChangeArrowheads="1"/>
                    </pic:cNvPicPr>
                  </pic:nvPicPr>
                  <pic:blipFill>
                    <a:blip r:embed="rId3"/>
                    <a:stretch>
                      <a:fillRect/>
                    </a:stretch>
                  </pic:blipFill>
                  <pic:spPr bwMode="auto">
                    <a:xfrm>
                      <a:off x="0" y="0"/>
                      <a:ext cx="2019935" cy="1286510"/>
                    </a:xfrm>
                    <a:prstGeom prst="rect">
                      <a:avLst/>
                    </a:prstGeom>
                  </pic:spPr>
                </pic:pic>
              </a:graphicData>
            </a:graphic>
          </wp:anchor>
        </w:drawing>
      </w:r>
      <w:r>
        <w:rPr>
          <w:rFonts w:eastAsia="Times New Roman" w:cs="Arial"/>
          <w:color w:val="000000"/>
          <w:kern w:val="0"/>
          <w:sz w:val="21"/>
          <w:szCs w:val="21"/>
          <w:shd w:fill="auto" w:val="clear"/>
          <w:lang w:val="sr-Latn-RS" w:eastAsia="sr-Latn-RS"/>
          <w14:ligatures w14:val="none"/>
        </w:rPr>
        <w:t>Поштовани суграђани,</w:t>
      </w:r>
    </w:p>
    <w:p>
      <w:pPr>
        <w:pStyle w:val="Normal"/>
        <w:shd w:val="clear" w:color="auto" w:fill="FFFFFF"/>
        <w:spacing w:lineRule="auto" w:line="240" w:before="0" w:after="225"/>
        <w:jc w:val="both"/>
        <w:rPr>
          <w:shd w:fill="auto" w:val="clear"/>
          <w14:ligatures w14:val="none"/>
        </w:rPr>
      </w:pPr>
      <w:r>
        <w:rPr>
          <w:rFonts w:eastAsia="Times New Roman" w:cs="Arial"/>
          <w:color w:val="000000"/>
          <w:kern w:val="0"/>
          <w:sz w:val="21"/>
          <w:szCs w:val="21"/>
          <w:shd w:fill="auto" w:val="clear"/>
          <w:lang w:val="sr-Latn-RS" w:eastAsia="sr-Latn-RS"/>
          <w14:ligatures w14:val="none"/>
        </w:rPr>
        <w:t xml:space="preserve">Препознајући потребе за унапређењем постојећих система социјалне заштите и подршке корисницима на територији општине Беочин, локална самоуправа је, у сарадњи са партнерским организацијама, креирала Програм унапређења социјалне заштите у општини Беочин за период од 2025 до 2030. године, који се налази пред Вама. </w:t>
      </w:r>
    </w:p>
    <w:p>
      <w:pPr>
        <w:pStyle w:val="Normal"/>
        <w:shd w:val="clear" w:color="auto" w:fill="FFFFFF"/>
        <w:spacing w:lineRule="auto" w:line="240" w:before="0" w:after="225"/>
        <w:jc w:val="both"/>
        <w:rPr>
          <w:shd w:fill="auto" w:val="clear"/>
          <w14:ligatures w14:val="none"/>
        </w:rPr>
      </w:pPr>
      <w:r>
        <w:rPr>
          <w:rFonts w:eastAsia="Times New Roman" w:cs="Arial"/>
          <w:color w:val="000000"/>
          <w:kern w:val="0"/>
          <w:sz w:val="21"/>
          <w:szCs w:val="21"/>
          <w:shd w:fill="auto" w:val="clear"/>
          <w:lang w:val="sr-Latn-RS" w:eastAsia="sr-Latn-RS"/>
          <w14:ligatures w14:val="none"/>
        </w:rPr>
        <w:t xml:space="preserve">Верујући да основни циљ јавних политика и примене закона који дефинишу права корисника социјалне заштите треба да буде сет мера које системски и одговорно дају решења и излазе у сусрет потребама осетљивих категорија становништва, овај Програм најпре дефинише правце деловања свих институција и механизама у области социјалне заштите који су одређени постојећим Планом развоја општине Беочин 2023-2030. </w:t>
      </w:r>
    </w:p>
    <w:p>
      <w:pPr>
        <w:pStyle w:val="Normal"/>
        <w:shd w:val="clear" w:color="auto" w:fill="FFFFFF"/>
        <w:spacing w:lineRule="auto" w:line="240" w:before="0" w:after="225"/>
        <w:jc w:val="both"/>
        <w:rPr>
          <w:shd w:fill="auto" w:val="clear"/>
          <w14:ligatures w14:val="none"/>
        </w:rPr>
      </w:pPr>
      <w:r>
        <w:rPr>
          <w:rFonts w:eastAsia="Times New Roman" w:cs="Arial"/>
          <w:color w:val="000000"/>
          <w:kern w:val="0"/>
          <w:sz w:val="21"/>
          <w:szCs w:val="21"/>
          <w:shd w:fill="auto" w:val="clear"/>
          <w:lang w:val="sr-Latn-RS" w:eastAsia="sr-Latn-RS"/>
          <w14:ligatures w14:val="none"/>
        </w:rPr>
        <w:t xml:space="preserve">Истовремено, документ нуди и конкретне мере и активности којима се настоји побољшати систем социјалне заштите у општини Беочин јер је почетна тачка израде овог Програма била анализа локалних података и потреба корисника, на основу којих је рађена даља процена могућности унапређења и усклађенсти са националним стратешким документима из области социјалне заштите. </w:t>
      </w:r>
    </w:p>
    <w:p>
      <w:pPr>
        <w:pStyle w:val="Normal"/>
        <w:shd w:val="clear" w:color="auto" w:fill="FFFFFF"/>
        <w:spacing w:lineRule="auto" w:line="240" w:before="0" w:after="225"/>
        <w:jc w:val="both"/>
        <w:rPr>
          <w:shd w:fill="auto" w:val="clear"/>
          <w14:ligatures w14:val="none"/>
        </w:rPr>
      </w:pPr>
      <w:r>
        <w:rPr>
          <w:rFonts w:eastAsia="Times New Roman" w:cs="Arial"/>
          <w:color w:val="000000"/>
          <w:kern w:val="0"/>
          <w:sz w:val="21"/>
          <w:szCs w:val="21"/>
          <w:shd w:fill="auto" w:val="clear"/>
          <w:lang w:val="sr-Latn-RS" w:eastAsia="sr-Latn-RS"/>
          <w14:ligatures w14:val="none"/>
        </w:rPr>
        <w:t xml:space="preserve">Израђен кроз партиципативни и партнерски приступ, Програм има за циљ да буде трајно одржив и резултат је  напора које локална заједница чини током низа година, а све са жељом  да се у пуној мери имплементирају инклузивне социјалне политике и праксе које нуде више могућности за све. </w:t>
      </w:r>
    </w:p>
    <w:p>
      <w:pPr>
        <w:pStyle w:val="Normal"/>
        <w:shd w:val="clear" w:color="auto" w:fill="FFFFFF"/>
        <w:spacing w:lineRule="auto" w:line="240" w:before="0" w:after="225"/>
        <w:jc w:val="both"/>
        <w:rPr>
          <w:shd w:fill="auto" w:val="clear"/>
          <w14:ligatures w14:val="none"/>
        </w:rPr>
      </w:pPr>
      <w:r>
        <w:rPr>
          <w:rFonts w:eastAsia="Times New Roman" w:cs="Arial"/>
          <w:color w:val="000000"/>
          <w:kern w:val="0"/>
          <w:sz w:val="21"/>
          <w:szCs w:val="21"/>
          <w:shd w:fill="auto" w:val="clear"/>
          <w:lang w:val="sr-Latn-RS" w:eastAsia="sr-Latn-RS"/>
          <w14:ligatures w14:val="none"/>
        </w:rPr>
        <w:t xml:space="preserve">Даћемо свој максимум да овај документ буде стабилна и полазна основа за рад и унапређење  области социјалне заштите становништва и настојаћемо да у току реализације Програма додатно унапредимо праксе кроз сарадњу са свим интересним групама. </w:t>
      </w:r>
    </w:p>
    <w:p>
      <w:pPr>
        <w:pStyle w:val="Normal"/>
        <w:shd w:val="clear" w:color="auto" w:fill="FFFFFF"/>
        <w:spacing w:lineRule="auto" w:line="240" w:before="0" w:after="225"/>
        <w:jc w:val="both"/>
        <w:rPr>
          <w:shd w:fill="auto" w:val="clear"/>
          <w14:ligatures w14:val="none"/>
        </w:rPr>
      </w:pPr>
      <w:r>
        <w:rPr>
          <w:rFonts w:eastAsia="Times New Roman" w:cs="Arial"/>
          <w:color w:val="000000"/>
          <w:kern w:val="0"/>
          <w:sz w:val="21"/>
          <w:szCs w:val="21"/>
          <w:shd w:fill="auto" w:val="clear"/>
          <w:lang w:val="sr-Latn-RS" w:eastAsia="sr-Latn-RS"/>
          <w14:ligatures w14:val="none"/>
        </w:rPr>
        <w:t xml:space="preserve">На самом крају, желела бих да упутим искрену захвалност свима који су узели активно учешће  у изради Програма унапређења социјалне заштите у општини Беочин као и Сталној конференцији градова и општина и Европској унији на подршци Беочину и његовим грађанима. </w:t>
      </w:r>
    </w:p>
    <w:p>
      <w:pPr>
        <w:pStyle w:val="Normal"/>
        <w:shd w:val="clear" w:color="auto" w:fill="FFFFFF"/>
        <w:spacing w:lineRule="auto" w:line="240" w:before="0" w:after="225"/>
        <w:jc w:val="both"/>
        <w:rPr>
          <w:shd w:fill="auto" w:val="clear"/>
          <w14:ligatures w14:val="none"/>
        </w:rPr>
      </w:pPr>
      <w:r>
        <w:rPr>
          <w:rFonts w:eastAsia="Times New Roman" w:cs="Arial"/>
          <w:color w:val="000000"/>
          <w:kern w:val="0"/>
          <w:sz w:val="21"/>
          <w:szCs w:val="21"/>
          <w:shd w:fill="auto" w:val="clear"/>
          <w:lang w:val="sr-Latn-RS" w:eastAsia="sr-Latn-RS"/>
          <w14:ligatures w14:val="none"/>
        </w:rPr>
        <w:t xml:space="preserve">Руководство општине има јасан циљ: Бољи и квалитетнији живот за све наше суграђане који се ослања на принципима инклузије, достојанства, могућности и права свих категорија становништва. </w:t>
      </w:r>
    </w:p>
    <w:p>
      <w:pPr>
        <w:pStyle w:val="Normal"/>
        <w:shd w:val="clear" w:color="auto" w:fill="FFFFFF"/>
        <w:spacing w:lineRule="auto" w:line="240" w:before="0" w:after="225"/>
        <w:jc w:val="both"/>
        <w:rPr>
          <w:shd w:fill="auto" w:val="clear"/>
          <w14:ligatures w14:val="none"/>
        </w:rPr>
      </w:pPr>
      <w:r>
        <w:rPr>
          <w:rFonts w:eastAsia="Times New Roman" w:cs="Arial"/>
          <w:color w:val="000000"/>
          <w:kern w:val="0"/>
          <w:sz w:val="21"/>
          <w:szCs w:val="21"/>
          <w:shd w:fill="auto" w:val="clear"/>
          <w:lang w:val="sr-Latn-RS" w:eastAsia="sr-Latn-RS"/>
          <w14:ligatures w14:val="none"/>
        </w:rPr>
        <w:tab/>
        <w:tab/>
        <w:tab/>
        <w:tab/>
        <w:tab/>
        <w:tab/>
        <w:tab/>
        <w:tab/>
        <w:t>С поштовањем,</w:t>
      </w:r>
    </w:p>
    <w:p>
      <w:pPr>
        <w:pStyle w:val="Normal"/>
        <w:shd w:val="clear" w:color="auto" w:fill="FFFFFF"/>
        <w:spacing w:lineRule="auto" w:line="240" w:before="0" w:after="225"/>
        <w:jc w:val="both"/>
        <w:rPr>
          <w:shd w:fill="auto" w:val="clear"/>
          <w14:ligatures w14:val="none"/>
        </w:rPr>
      </w:pPr>
      <w:r>
        <w:rPr>
          <w:rFonts w:eastAsia="Times New Roman" w:cs="Arial"/>
          <w:color w:val="000000"/>
          <w:kern w:val="0"/>
          <w:sz w:val="21"/>
          <w:szCs w:val="21"/>
          <w:shd w:fill="auto" w:val="clear"/>
          <w:lang w:val="sr-Latn-RS" w:eastAsia="sr-Latn-RS"/>
          <w14:ligatures w14:val="none"/>
        </w:rPr>
        <w:tab/>
        <w:tab/>
        <w:tab/>
        <w:tab/>
        <w:tab/>
        <w:tab/>
        <w:tab/>
        <w:tab/>
        <w:t>Биљана Јанковић</w:t>
      </w:r>
    </w:p>
    <w:p>
      <w:pPr>
        <w:pStyle w:val="Normal"/>
        <w:shd w:val="clear" w:color="auto" w:fill="FFFFFF"/>
        <w:spacing w:lineRule="auto" w:line="240" w:before="0" w:after="225"/>
        <w:jc w:val="both"/>
        <w:rPr>
          <w:shd w:fill="auto" w:val="clear"/>
          <w14:ligatures w14:val="none"/>
        </w:rPr>
      </w:pPr>
      <w:r>
        <w:rPr>
          <w:rFonts w:eastAsia="Times New Roman" w:cs="Arial"/>
          <w:color w:val="000000"/>
          <w:kern w:val="0"/>
          <w:sz w:val="21"/>
          <w:szCs w:val="21"/>
          <w:shd w:fill="auto" w:val="clear"/>
          <w:lang w:val="sr-Latn-RS" w:eastAsia="sr-Latn-RS"/>
          <w14:ligatures w14:val="none"/>
        </w:rPr>
        <w:tab/>
        <w:tab/>
        <w:tab/>
        <w:tab/>
        <w:tab/>
        <w:tab/>
        <w:tab/>
        <w:tab/>
        <w:t>председница општине Беочин</w:t>
      </w:r>
    </w:p>
    <w:p>
      <w:pPr>
        <w:pStyle w:val="Heading1"/>
        <w:numPr>
          <w:ilvl w:val="0"/>
          <w:numId w:val="0"/>
        </w:numPr>
        <w:spacing w:lineRule="auto" w:line="240" w:before="0" w:after="0"/>
        <w:ind w:start="720" w:hanging="0"/>
        <w:rPr>
          <w:rFonts w:ascii="Tahoma" w:hAnsi="Tahoma" w:cs="Tahoma"/>
          <w:b/>
          <w:b/>
          <w:sz w:val="24"/>
          <w:szCs w:val="28"/>
          <w:lang w:val="sr-RS"/>
        </w:rPr>
      </w:pPr>
      <w:r>
        <w:rPr>
          <w:rFonts w:cs="Tahoma" w:ascii="Tahoma" w:hAnsi="Tahoma"/>
          <w:b/>
          <w:sz w:val="24"/>
          <w:szCs w:val="28"/>
          <w:lang w:val="sr-RS"/>
        </w:rPr>
      </w:r>
    </w:p>
    <w:p>
      <w:pPr>
        <w:pStyle w:val="Heading1"/>
        <w:numPr>
          <w:ilvl w:val="0"/>
          <w:numId w:val="1"/>
        </w:numPr>
        <w:spacing w:lineRule="auto" w:line="240" w:before="0" w:after="0"/>
        <w:rPr>
          <w:rFonts w:ascii="Tahoma" w:hAnsi="Tahoma" w:cs="Tahoma"/>
          <w:b/>
          <w:b/>
          <w:sz w:val="24"/>
          <w:szCs w:val="28"/>
          <w:lang w:val="sr-RS"/>
        </w:rPr>
      </w:pPr>
      <w:bookmarkStart w:id="2" w:name="_Toc188876938"/>
      <w:r>
        <w:rPr>
          <w:rFonts w:cs="Tahoma" w:ascii="Tahoma" w:hAnsi="Tahoma"/>
          <w:b/>
          <w:sz w:val="24"/>
          <w:szCs w:val="28"/>
          <w:lang w:val="sr-RS"/>
        </w:rPr>
        <w:t>Увод</w:t>
      </w:r>
      <w:bookmarkEnd w:id="2"/>
    </w:p>
    <w:p>
      <w:pPr>
        <w:pStyle w:val="Body"/>
        <w:jc w:val="both"/>
        <w:rPr>
          <w:rFonts w:ascii="Tahoma" w:hAnsi="Tahoma" w:cs="Tahoma"/>
          <w:color w:val="auto"/>
          <w:sz w:val="20"/>
          <w:szCs w:val="22"/>
        </w:rPr>
      </w:pPr>
      <w:r>
        <w:rPr>
          <w:rFonts w:cs="Tahoma" w:ascii="Tahoma" w:hAnsi="Tahoma"/>
          <w:color w:val="auto"/>
          <w:sz w:val="20"/>
          <w:szCs w:val="22"/>
        </w:rPr>
      </w:r>
    </w:p>
    <w:p>
      <w:pPr>
        <w:pStyle w:val="Normal"/>
        <w:spacing w:lineRule="atLeast" w:line="210"/>
        <w:jc w:val="both"/>
        <w:rPr>
          <w:rFonts w:ascii="Tahoma" w:hAnsi="Tahoma" w:eastAsia="Arial Unicode MS" w:cs="Tahoma"/>
          <w:color w:val="000000"/>
          <w:kern w:val="0"/>
          <w:sz w:val="20"/>
          <w:szCs w:val="24"/>
          <w:u w:val="none" w:color="000000"/>
          <w:lang w:val="sr-RS" w:eastAsia="sr-Latn-RS"/>
          <w14:ligatures w14:val="none"/>
        </w:rPr>
      </w:pPr>
      <w:r>
        <w:rPr>
          <w:rFonts w:eastAsia="Arial Unicode MS" w:cs="Tahoma" w:ascii="Tahoma" w:hAnsi="Tahoma"/>
          <w:color w:val="000000"/>
          <w:kern w:val="0"/>
          <w:sz w:val="20"/>
          <w:szCs w:val="24"/>
          <w:u w:val="none" w:color="000000"/>
          <w:lang w:val="sr-RS" w:eastAsia="sr-Latn-RS"/>
          <w14:ligatures w14:val="none"/>
        </w:rPr>
        <w:t>Правни основ за доношење Програма унапређења социјалне заштите у општини Беочин за период 2025-2030. године налази се у одредби члана 20 Закона о социјалној заштити</w:t>
      </w:r>
      <w:r>
        <w:rPr>
          <w:rStyle w:val="FootnoteAnchor"/>
          <w:rFonts w:eastAsia="Arial Unicode MS" w:cs="Tahoma" w:ascii="Tahoma" w:hAnsi="Tahoma"/>
          <w:color w:val="000000"/>
          <w:kern w:val="0"/>
          <w:sz w:val="20"/>
          <w:szCs w:val="24"/>
          <w:u w:val="none" w:color="000000"/>
          <w:vertAlign w:val="superscript"/>
          <w:lang w:val="sr-RS" w:eastAsia="sr-Latn-RS"/>
          <w14:ligatures w14:val="none"/>
        </w:rPr>
        <w:footnoteReference w:id="2"/>
      </w:r>
      <w:r>
        <w:rPr>
          <w:rFonts w:eastAsia="Arial Unicode MS" w:cs="Tahoma" w:ascii="Tahoma" w:hAnsi="Tahoma"/>
          <w:color w:val="000000"/>
          <w:kern w:val="0"/>
          <w:sz w:val="20"/>
          <w:szCs w:val="24"/>
          <w:u w:val="none" w:color="000000"/>
          <w:lang w:val="sr-RS" w:eastAsia="sr-Latn-RS"/>
          <w14:ligatures w14:val="none"/>
        </w:rPr>
        <w:t xml:space="preserve">, којим је дефинисано да Програм унапређења социјалне заштите у јединици локалне самоуправе </w:t>
      </w:r>
      <w:r>
        <w:rPr>
          <w:rFonts w:eastAsia="Arial Unicode MS" w:cs="Tahoma" w:ascii="Tahoma" w:hAnsi="Tahoma"/>
          <w:kern w:val="0"/>
          <w:sz w:val="20"/>
          <w:szCs w:val="24"/>
          <w:u w:val="none" w:color="000000"/>
          <w:lang w:val="sr-RS" w:eastAsia="sr-Latn-RS"/>
          <w14:ligatures w14:val="none"/>
        </w:rPr>
        <w:t>(у даљем тексту: Програм)</w:t>
      </w:r>
      <w:r>
        <w:rPr>
          <w:rFonts w:eastAsia="Arial Unicode MS" w:cs="Tahoma" w:ascii="Tahoma" w:hAnsi="Tahoma"/>
          <w:color w:val="000000"/>
          <w:kern w:val="0"/>
          <w:sz w:val="20"/>
          <w:szCs w:val="24"/>
          <w:u w:val="none" w:color="000000"/>
          <w:lang w:val="sr-RS" w:eastAsia="sr-Latn-RS"/>
          <w14:ligatures w14:val="none"/>
        </w:rPr>
        <w:t xml:space="preserve"> утврђује  надлежни орган јединице локалне самоуправе. Истим чланом одређено је да Програм обухвата мере и активности за подстицај и  развој постојећих и нових услуга социјалне заштите, и да свака јединица локалне самоуправе мора утврдити мере и активности за  подстицај и развој постојећих и нових услуга социјалне заштите.</w:t>
      </w:r>
    </w:p>
    <w:p>
      <w:pPr>
        <w:pStyle w:val="Normal"/>
        <w:spacing w:lineRule="atLeast" w:line="210"/>
        <w:jc w:val="both"/>
        <w:rPr>
          <w:rFonts w:ascii="Tahoma" w:hAnsi="Tahoma" w:cs="Tahoma"/>
          <w:sz w:val="20"/>
          <w:lang w:val="sr-RS"/>
        </w:rPr>
      </w:pPr>
      <w:r>
        <w:rPr>
          <w:rFonts w:cs="Tahoma" w:ascii="Tahoma" w:hAnsi="Tahoma"/>
          <w:sz w:val="20"/>
          <w:lang w:val="sr-RS"/>
        </w:rPr>
        <w:t>Закон о планском систему Републике Србије</w:t>
      </w:r>
      <w:r>
        <w:rPr>
          <w:rStyle w:val="FootnoteAnchor"/>
          <w:rFonts w:cs="Tahoma" w:ascii="Tahoma" w:hAnsi="Tahoma"/>
          <w:sz w:val="20"/>
        </w:rPr>
        <w:footnoteReference w:id="3"/>
      </w:r>
      <w:r>
        <w:rPr>
          <w:rFonts w:cs="Tahoma" w:ascii="Tahoma" w:hAnsi="Tahoma"/>
          <w:sz w:val="20"/>
          <w:lang w:val="sr-RS"/>
        </w:rPr>
        <w:t xml:space="preserve">, у </w:t>
      </w:r>
      <w:r>
        <w:rPr>
          <w:rFonts w:eastAsia="Arial Unicode MS" w:cs="Tahoma" w:ascii="Tahoma" w:hAnsi="Tahoma"/>
          <w:color w:val="000000"/>
          <w:kern w:val="0"/>
          <w:sz w:val="20"/>
          <w:u w:val="none" w:color="000000"/>
          <w:lang w:val="sr-RS" w:eastAsia="sr-Latn-RS"/>
          <w14:ligatures w14:val="none"/>
        </w:rPr>
        <w:t xml:space="preserve">члану 14 дефинише програм као документ jaвне политике, ужег обухвата од стратегије који, по правилу, разрађује посебан циљ стратегије или неког другог планског документа у складу са којим се доноси (План развоја, Програм Владе, план развоја локалне власти, концепт политике). Програм представља групу независних али тесно повезаних мера и/или сродних (компатибилних) пројеката, којима се управља и координира како би се остварили циљеви који се не могу остварити управљањем сваким од елемената програма појединачно, односно независно. </w:t>
      </w:r>
      <w:r>
        <w:rPr>
          <w:rFonts w:eastAsia="Verdana" w:cs="Tahoma" w:ascii="Tahoma" w:hAnsi="Tahoma"/>
          <w:sz w:val="20"/>
          <w:lang w:val="sr-RS"/>
        </w:rPr>
        <w:t xml:space="preserve">Члан 15. наведеног Закона одређује садржину програма: програм садржи исте елементе као и стратегија, а нарочито разрађене мере за постизање посебног циља, односно циљева које дефинише или преузима из стратегије или неког другог планског документа у складу са којим се усваја. Програм има по правилу до три посебна циља који непосредно доприносе остварењу општег циља. </w:t>
      </w:r>
    </w:p>
    <w:p>
      <w:pPr>
        <w:pStyle w:val="ListParagraph"/>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start="0" w:hanging="0"/>
        <w:contextualSpacing/>
        <w:jc w:val="both"/>
        <w:rPr>
          <w:rFonts w:ascii="Tahoma" w:hAnsi="Tahoma" w:cs="Tahoma"/>
          <w:sz w:val="20"/>
          <w:lang w:val="sr-RS"/>
        </w:rPr>
      </w:pPr>
      <w:r>
        <w:rPr>
          <w:rFonts w:cs="Tahoma" w:ascii="Tahoma" w:hAnsi="Tahoma"/>
          <w:sz w:val="20"/>
          <w:lang w:val="sr-RS"/>
        </w:rPr>
        <w:t>Закон о локалној самоуправи</w:t>
      </w:r>
      <w:r>
        <w:rPr>
          <w:rStyle w:val="FootnoteAnchor"/>
          <w:rFonts w:cs="Tahoma" w:ascii="Tahoma" w:hAnsi="Tahoma"/>
          <w:sz w:val="20"/>
          <w:lang w:val="sr-RS"/>
        </w:rPr>
        <w:footnoteReference w:id="4"/>
      </w:r>
      <w:r>
        <w:rPr>
          <w:rFonts w:cs="Tahoma" w:ascii="Tahoma" w:hAnsi="Tahoma"/>
          <w:sz w:val="20"/>
          <w:lang w:val="sr-RS"/>
        </w:rPr>
        <w:t xml:space="preserve"> у члану 20. наводи надлежности општине, где је у тачки 4 наведног члана предвиђено да општина „стара се о задовољавању потреба грађана у области просвете (предшколско васпитање и образовање и основно и средње образовање и васпитање), научноистраживачке и иновационе делатности, културе, здравствене и </w:t>
      </w:r>
      <w:r>
        <w:rPr>
          <w:rFonts w:cs="Tahoma" w:ascii="Tahoma" w:hAnsi="Tahoma"/>
          <w:b/>
          <w:sz w:val="20"/>
          <w:lang w:val="sr-RS"/>
        </w:rPr>
        <w:t>социјалне заштите</w:t>
      </w:r>
      <w:r>
        <w:rPr>
          <w:rFonts w:cs="Tahoma" w:ascii="Tahoma" w:hAnsi="Tahoma"/>
          <w:sz w:val="20"/>
          <w:lang w:val="sr-RS"/>
        </w:rPr>
        <w:t xml:space="preserve">, дечије заштите, спорта и физичке културе. Тачка 5. члана 20. Закона о локалној самоуправи утврђује да општина „обезбеђује остваривање посебних потреба особа са инвалидитетом и заштиту права осетљивих група“. </w:t>
      </w:r>
    </w:p>
    <w:p>
      <w:pPr>
        <w:pStyle w:val="Normal"/>
        <w:spacing w:lineRule="auto" w:line="240" w:before="240" w:after="0"/>
        <w:jc w:val="both"/>
        <w:rPr>
          <w:rFonts w:ascii="Tahoma" w:hAnsi="Tahoma" w:cs="Tahoma"/>
          <w:color w:val="000000"/>
          <w:sz w:val="20"/>
          <w:lang w:val="sr-Latn-RS"/>
        </w:rPr>
      </w:pPr>
      <w:r>
        <w:rPr>
          <w:rFonts w:cs="Tahoma" w:ascii="Tahoma" w:hAnsi="Tahoma"/>
          <w:sz w:val="20"/>
          <w:lang w:val="sr-RS"/>
        </w:rPr>
        <w:t>Програм</w:t>
      </w:r>
      <w:r>
        <w:rPr>
          <w:rFonts w:cs="Tahoma" w:ascii="Tahoma" w:hAnsi="Tahoma"/>
          <w:sz w:val="20"/>
          <w:lang w:val="sr-Latn-RS"/>
        </w:rPr>
        <w:t xml:space="preserve"> </w:t>
      </w:r>
      <w:r>
        <w:rPr>
          <w:rFonts w:cs="Tahoma" w:ascii="Tahoma" w:hAnsi="Tahoma"/>
          <w:sz w:val="20"/>
          <w:lang w:val="sr-RS"/>
        </w:rPr>
        <w:t>унапређења социјалне заштите у општини Беочин за период од  202</w:t>
      </w:r>
      <w:r>
        <w:rPr>
          <w:rFonts w:cs="Tahoma" w:ascii="Tahoma" w:hAnsi="Tahoma"/>
          <w:sz w:val="20"/>
          <w:lang w:val="sr-Latn-RS"/>
        </w:rPr>
        <w:t>5</w:t>
      </w:r>
      <w:r>
        <w:rPr>
          <w:rFonts w:cs="Tahoma" w:ascii="Tahoma" w:hAnsi="Tahoma"/>
          <w:sz w:val="20"/>
          <w:lang w:val="sr-RS"/>
        </w:rPr>
        <w:t xml:space="preserve">. до  2030.  године (у </w:t>
      </w:r>
      <w:r>
        <w:rPr>
          <w:rFonts w:cs="Tahoma" w:ascii="Tahoma" w:hAnsi="Tahoma"/>
          <w:color w:val="000000"/>
          <w:sz w:val="20"/>
          <w:lang w:val="sr-RS"/>
        </w:rPr>
        <w:t>наставку: Програм) дефинише</w:t>
      </w:r>
      <w:r>
        <w:rPr>
          <w:rFonts w:cs="Tahoma" w:ascii="Tahoma" w:hAnsi="Tahoma"/>
          <w:color w:val="000000"/>
          <w:sz w:val="20"/>
          <w:lang w:val="sr-Latn-RS"/>
        </w:rPr>
        <w:t xml:space="preserve"> </w:t>
      </w:r>
      <w:r>
        <w:rPr>
          <w:rFonts w:cs="Tahoma" w:ascii="Tahoma" w:hAnsi="Tahoma"/>
          <w:color w:val="000000"/>
          <w:sz w:val="20"/>
          <w:lang w:val="sr-RS"/>
        </w:rPr>
        <w:t>правце</w:t>
      </w:r>
      <w:r>
        <w:rPr>
          <w:rFonts w:cs="Tahoma" w:ascii="Tahoma" w:hAnsi="Tahoma"/>
          <w:color w:val="000000"/>
          <w:sz w:val="20"/>
          <w:lang w:val="sr-Latn-RS"/>
        </w:rPr>
        <w:t xml:space="preserve"> </w:t>
      </w:r>
      <w:r>
        <w:rPr>
          <w:rFonts w:cs="Tahoma" w:ascii="Tahoma" w:hAnsi="Tahoma"/>
          <w:color w:val="000000"/>
          <w:sz w:val="20"/>
          <w:lang w:val="sr-RS"/>
        </w:rPr>
        <w:t>деловања</w:t>
      </w:r>
      <w:r>
        <w:rPr>
          <w:rFonts w:cs="Tahoma" w:ascii="Tahoma" w:hAnsi="Tahoma"/>
          <w:color w:val="000000"/>
          <w:sz w:val="20"/>
          <w:lang w:val="sr-Latn-RS"/>
        </w:rPr>
        <w:t xml:space="preserve"> </w:t>
      </w:r>
      <w:r>
        <w:rPr>
          <w:rFonts w:cs="Tahoma" w:ascii="Tahoma" w:hAnsi="Tahoma"/>
          <w:color w:val="000000"/>
          <w:sz w:val="20"/>
          <w:lang w:val="sr-RS"/>
        </w:rPr>
        <w:t>општине</w:t>
      </w:r>
      <w:r>
        <w:rPr>
          <w:rFonts w:cs="Tahoma" w:ascii="Tahoma" w:hAnsi="Tahoma"/>
          <w:color w:val="000000"/>
          <w:sz w:val="20"/>
          <w:lang w:val="sr-Latn-RS"/>
        </w:rPr>
        <w:t xml:space="preserve"> </w:t>
      </w:r>
      <w:r>
        <w:rPr>
          <w:rFonts w:cs="Tahoma" w:ascii="Tahoma" w:hAnsi="Tahoma"/>
          <w:color w:val="000000"/>
          <w:sz w:val="20"/>
          <w:lang w:val="sr-RS"/>
        </w:rPr>
        <w:t>Беочин</w:t>
      </w:r>
      <w:r>
        <w:rPr>
          <w:rFonts w:cs="Tahoma" w:ascii="Tahoma" w:hAnsi="Tahoma"/>
          <w:color w:val="000000"/>
          <w:sz w:val="20"/>
          <w:lang w:val="sr-Latn-RS"/>
        </w:rPr>
        <w:t xml:space="preserve"> </w:t>
      </w:r>
      <w:r>
        <w:rPr>
          <w:rFonts w:cs="Tahoma" w:ascii="Tahoma" w:hAnsi="Tahoma"/>
          <w:color w:val="000000"/>
          <w:sz w:val="20"/>
          <w:lang w:val="sr-RS"/>
        </w:rPr>
        <w:t>у</w:t>
      </w:r>
      <w:r>
        <w:rPr>
          <w:rFonts w:cs="Tahoma" w:ascii="Tahoma" w:hAnsi="Tahoma"/>
          <w:color w:val="000000"/>
          <w:sz w:val="20"/>
          <w:lang w:val="sr-Latn-RS"/>
        </w:rPr>
        <w:t xml:space="preserve"> </w:t>
      </w:r>
      <w:r>
        <w:rPr>
          <w:rFonts w:cs="Tahoma" w:ascii="Tahoma" w:hAnsi="Tahoma"/>
          <w:color w:val="000000"/>
          <w:sz w:val="20"/>
          <w:lang w:val="sr-RS"/>
        </w:rPr>
        <w:t>области</w:t>
      </w:r>
      <w:r>
        <w:rPr>
          <w:rFonts w:cs="Tahoma" w:ascii="Tahoma" w:hAnsi="Tahoma"/>
          <w:color w:val="000000"/>
          <w:sz w:val="20"/>
          <w:lang w:val="sr-Latn-RS"/>
        </w:rPr>
        <w:t xml:space="preserve"> </w:t>
      </w:r>
      <w:r>
        <w:rPr>
          <w:rFonts w:cs="Tahoma" w:ascii="Tahoma" w:hAnsi="Tahoma"/>
          <w:color w:val="000000"/>
          <w:sz w:val="20"/>
          <w:lang w:val="sr-RS"/>
        </w:rPr>
        <w:t xml:space="preserve">социјалне заштите који су одређени </w:t>
      </w:r>
      <w:r>
        <w:rPr>
          <w:rFonts w:cs="Tahoma" w:ascii="Tahoma" w:hAnsi="Tahoma"/>
          <w:sz w:val="20"/>
          <w:szCs w:val="20"/>
          <w:lang w:val="sr-RS"/>
        </w:rPr>
        <w:t>Планом развоја општине Беочин 2023-2030</w:t>
      </w:r>
      <w:r>
        <w:rPr>
          <w:rFonts w:cs="Tahoma" w:ascii="Tahoma" w:hAnsi="Tahoma"/>
          <w:sz w:val="20"/>
          <w:szCs w:val="20"/>
          <w:lang w:val="sr-Latn-RS"/>
        </w:rPr>
        <w:t>.</w:t>
      </w:r>
      <w:r>
        <w:rPr>
          <w:rStyle w:val="FootnoteAnchor"/>
          <w:rFonts w:cs="Tahoma" w:ascii="Tahoma" w:hAnsi="Tahoma"/>
          <w:lang w:val="sr-RS"/>
        </w:rPr>
        <w:footnoteReference w:id="5"/>
      </w:r>
      <w:r>
        <w:rPr>
          <w:rFonts w:cs="Tahoma" w:ascii="Tahoma" w:hAnsi="Tahoma"/>
          <w:color w:val="000000"/>
          <w:sz w:val="20"/>
          <w:lang w:val="sr-Latn-RS"/>
        </w:rPr>
        <w:t xml:space="preserve">, </w:t>
      </w:r>
      <w:r>
        <w:rPr>
          <w:rFonts w:cs="Tahoma" w:ascii="Tahoma" w:hAnsi="Tahoma"/>
          <w:color w:val="000000"/>
          <w:sz w:val="20"/>
          <w:lang w:val="sr-RS"/>
        </w:rPr>
        <w:t>као</w:t>
      </w:r>
      <w:r>
        <w:rPr>
          <w:rFonts w:cs="Tahoma" w:ascii="Tahoma" w:hAnsi="Tahoma"/>
          <w:color w:val="000000"/>
          <w:sz w:val="20"/>
          <w:lang w:val="sr-Latn-RS"/>
        </w:rPr>
        <w:t xml:space="preserve"> </w:t>
      </w:r>
      <w:r>
        <w:rPr>
          <w:rFonts w:cs="Tahoma" w:ascii="Tahoma" w:hAnsi="Tahoma"/>
          <w:color w:val="000000"/>
          <w:sz w:val="20"/>
          <w:lang w:val="sr-RS"/>
        </w:rPr>
        <w:t>и</w:t>
      </w:r>
      <w:r>
        <w:rPr>
          <w:rFonts w:cs="Tahoma" w:ascii="Tahoma" w:hAnsi="Tahoma"/>
          <w:color w:val="000000"/>
          <w:sz w:val="20"/>
          <w:lang w:val="sr-Latn-RS"/>
        </w:rPr>
        <w:t xml:space="preserve"> </w:t>
      </w:r>
      <w:r>
        <w:rPr>
          <w:rFonts w:cs="Tahoma" w:ascii="Tahoma" w:hAnsi="Tahoma"/>
          <w:color w:val="000000"/>
          <w:sz w:val="20"/>
          <w:lang w:val="sr-RS"/>
        </w:rPr>
        <w:t>конкретне</w:t>
      </w:r>
      <w:r>
        <w:rPr>
          <w:rFonts w:cs="Tahoma" w:ascii="Tahoma" w:hAnsi="Tahoma"/>
          <w:color w:val="000000"/>
          <w:sz w:val="20"/>
          <w:lang w:val="sr-Latn-RS"/>
        </w:rPr>
        <w:t xml:space="preserve"> </w:t>
      </w:r>
      <w:r>
        <w:rPr>
          <w:rFonts w:cs="Tahoma" w:ascii="Tahoma" w:hAnsi="Tahoma"/>
          <w:color w:val="000000"/>
          <w:sz w:val="20"/>
          <w:lang w:val="sr-RS"/>
        </w:rPr>
        <w:t>мере</w:t>
      </w:r>
      <w:r>
        <w:rPr>
          <w:rFonts w:cs="Tahoma" w:ascii="Tahoma" w:hAnsi="Tahoma"/>
          <w:color w:val="000000"/>
          <w:sz w:val="20"/>
          <w:lang w:val="sr-Latn-RS"/>
        </w:rPr>
        <w:t xml:space="preserve"> </w:t>
      </w:r>
      <w:r>
        <w:rPr>
          <w:rFonts w:cs="Tahoma" w:ascii="Tahoma" w:hAnsi="Tahoma"/>
          <w:color w:val="000000"/>
          <w:sz w:val="20"/>
          <w:lang w:val="sr-RS"/>
        </w:rPr>
        <w:t>и</w:t>
      </w:r>
      <w:r>
        <w:rPr>
          <w:rFonts w:cs="Tahoma" w:ascii="Tahoma" w:hAnsi="Tahoma"/>
          <w:color w:val="000000"/>
          <w:sz w:val="20"/>
          <w:lang w:val="sr-Latn-RS"/>
        </w:rPr>
        <w:t xml:space="preserve"> </w:t>
      </w:r>
      <w:r>
        <w:rPr>
          <w:rFonts w:cs="Tahoma" w:ascii="Tahoma" w:hAnsi="Tahoma"/>
          <w:color w:val="000000"/>
          <w:sz w:val="20"/>
          <w:lang w:val="sr-RS"/>
        </w:rPr>
        <w:t>активности</w:t>
      </w:r>
      <w:r>
        <w:rPr>
          <w:rFonts w:cs="Tahoma" w:ascii="Tahoma" w:hAnsi="Tahoma"/>
          <w:color w:val="000000"/>
          <w:sz w:val="20"/>
          <w:lang w:val="sr-Latn-RS"/>
        </w:rPr>
        <w:t xml:space="preserve"> </w:t>
      </w:r>
      <w:r>
        <w:rPr>
          <w:rFonts w:cs="Tahoma" w:ascii="Tahoma" w:hAnsi="Tahoma"/>
          <w:color w:val="000000"/>
          <w:sz w:val="20"/>
          <w:lang w:val="sr-RS"/>
        </w:rPr>
        <w:t>којима</w:t>
      </w:r>
      <w:r>
        <w:rPr>
          <w:rFonts w:cs="Tahoma" w:ascii="Tahoma" w:hAnsi="Tahoma"/>
          <w:color w:val="000000"/>
          <w:sz w:val="20"/>
          <w:lang w:val="sr-Latn-RS"/>
        </w:rPr>
        <w:t xml:space="preserve"> </w:t>
      </w:r>
      <w:r>
        <w:rPr>
          <w:rFonts w:cs="Tahoma" w:ascii="Tahoma" w:hAnsi="Tahoma"/>
          <w:color w:val="000000"/>
          <w:sz w:val="20"/>
          <w:lang w:val="sr-RS"/>
        </w:rPr>
        <w:t>се</w:t>
      </w:r>
      <w:r>
        <w:rPr>
          <w:rFonts w:cs="Tahoma" w:ascii="Tahoma" w:hAnsi="Tahoma"/>
          <w:color w:val="000000"/>
          <w:sz w:val="20"/>
          <w:lang w:val="sr-Latn-RS"/>
        </w:rPr>
        <w:t xml:space="preserve"> </w:t>
      </w:r>
      <w:r>
        <w:rPr>
          <w:rFonts w:cs="Tahoma" w:ascii="Tahoma" w:hAnsi="Tahoma"/>
          <w:color w:val="000000"/>
          <w:sz w:val="20"/>
          <w:lang w:val="sr-RS"/>
        </w:rPr>
        <w:t>настоји</w:t>
      </w:r>
      <w:r>
        <w:rPr>
          <w:rFonts w:cs="Tahoma" w:ascii="Tahoma" w:hAnsi="Tahoma"/>
          <w:color w:val="000000"/>
          <w:sz w:val="20"/>
          <w:lang w:val="sr-Latn-RS"/>
        </w:rPr>
        <w:t xml:space="preserve"> </w:t>
      </w:r>
      <w:r>
        <w:rPr>
          <w:rFonts w:cs="Tahoma" w:ascii="Tahoma" w:hAnsi="Tahoma"/>
          <w:color w:val="000000"/>
          <w:sz w:val="20"/>
          <w:lang w:val="sr-RS"/>
        </w:rPr>
        <w:t>побољшати</w:t>
      </w:r>
      <w:r>
        <w:rPr>
          <w:rFonts w:cs="Tahoma" w:ascii="Tahoma" w:hAnsi="Tahoma"/>
          <w:color w:val="000000"/>
          <w:sz w:val="20"/>
          <w:lang w:val="sr-Latn-RS"/>
        </w:rPr>
        <w:t xml:space="preserve"> </w:t>
      </w:r>
      <w:r>
        <w:rPr>
          <w:rFonts w:cs="Tahoma" w:ascii="Tahoma" w:hAnsi="Tahoma"/>
          <w:color w:val="000000"/>
          <w:sz w:val="20"/>
          <w:lang w:val="sr-RS"/>
        </w:rPr>
        <w:t>систем социјалне заштите на локалном нивоу</w:t>
      </w:r>
      <w:r>
        <w:rPr>
          <w:rFonts w:cs="Tahoma" w:ascii="Tahoma" w:hAnsi="Tahoma"/>
          <w:color w:val="000000"/>
          <w:sz w:val="20"/>
          <w:lang w:val="sr-Latn-RS"/>
        </w:rPr>
        <w:t xml:space="preserve">, </w:t>
      </w:r>
      <w:r>
        <w:rPr>
          <w:rFonts w:cs="Tahoma" w:ascii="Tahoma" w:hAnsi="Tahoma"/>
          <w:color w:val="000000"/>
          <w:sz w:val="20"/>
          <w:lang w:val="sr-RS"/>
        </w:rPr>
        <w:t>уз</w:t>
      </w:r>
      <w:r>
        <w:rPr>
          <w:rFonts w:cs="Tahoma" w:ascii="Tahoma" w:hAnsi="Tahoma"/>
          <w:color w:val="000000"/>
          <w:sz w:val="20"/>
          <w:lang w:val="sr-Latn-RS"/>
        </w:rPr>
        <w:t xml:space="preserve"> </w:t>
      </w:r>
      <w:r>
        <w:rPr>
          <w:rFonts w:cs="Tahoma" w:ascii="Tahoma" w:hAnsi="Tahoma"/>
          <w:color w:val="000000"/>
          <w:sz w:val="20"/>
          <w:lang w:val="sr-RS"/>
        </w:rPr>
        <w:t>јасне</w:t>
      </w:r>
      <w:r>
        <w:rPr>
          <w:rFonts w:cs="Tahoma" w:ascii="Tahoma" w:hAnsi="Tahoma"/>
          <w:color w:val="000000"/>
          <w:sz w:val="20"/>
          <w:lang w:val="sr-Latn-RS"/>
        </w:rPr>
        <w:t xml:space="preserve"> </w:t>
      </w:r>
      <w:r>
        <w:rPr>
          <w:rFonts w:cs="Tahoma" w:ascii="Tahoma" w:hAnsi="Tahoma"/>
          <w:color w:val="000000"/>
          <w:sz w:val="20"/>
          <w:lang w:val="sr-RS"/>
        </w:rPr>
        <w:t>механизме</w:t>
      </w:r>
      <w:r>
        <w:rPr>
          <w:rFonts w:cs="Tahoma" w:ascii="Tahoma" w:hAnsi="Tahoma"/>
          <w:color w:val="000000"/>
          <w:sz w:val="20"/>
          <w:lang w:val="sr-Latn-RS"/>
        </w:rPr>
        <w:t xml:space="preserve"> </w:t>
      </w:r>
      <w:r>
        <w:rPr>
          <w:rFonts w:cs="Tahoma" w:ascii="Tahoma" w:hAnsi="Tahoma"/>
          <w:color w:val="000000"/>
          <w:sz w:val="20"/>
          <w:lang w:val="sr-RS"/>
        </w:rPr>
        <w:t>помоћу</w:t>
      </w:r>
      <w:r>
        <w:rPr>
          <w:rFonts w:cs="Tahoma" w:ascii="Tahoma" w:hAnsi="Tahoma"/>
          <w:color w:val="000000"/>
          <w:sz w:val="20"/>
          <w:lang w:val="sr-Latn-RS"/>
        </w:rPr>
        <w:t xml:space="preserve"> </w:t>
      </w:r>
      <w:r>
        <w:rPr>
          <w:rFonts w:cs="Tahoma" w:ascii="Tahoma" w:hAnsi="Tahoma"/>
          <w:color w:val="000000"/>
          <w:sz w:val="20"/>
          <w:lang w:val="sr-RS"/>
        </w:rPr>
        <w:t>којих</w:t>
      </w:r>
      <w:r>
        <w:rPr>
          <w:rFonts w:cs="Tahoma" w:ascii="Tahoma" w:hAnsi="Tahoma"/>
          <w:color w:val="000000"/>
          <w:sz w:val="20"/>
          <w:lang w:val="sr-Latn-RS"/>
        </w:rPr>
        <w:t xml:space="preserve"> </w:t>
      </w:r>
      <w:r>
        <w:rPr>
          <w:rFonts w:cs="Tahoma" w:ascii="Tahoma" w:hAnsi="Tahoma"/>
          <w:color w:val="000000"/>
          <w:sz w:val="20"/>
          <w:lang w:val="sr-RS"/>
        </w:rPr>
        <w:t>се</w:t>
      </w:r>
      <w:r>
        <w:rPr>
          <w:rFonts w:cs="Tahoma" w:ascii="Tahoma" w:hAnsi="Tahoma"/>
          <w:color w:val="000000"/>
          <w:sz w:val="20"/>
          <w:lang w:val="sr-Latn-RS"/>
        </w:rPr>
        <w:t xml:space="preserve"> </w:t>
      </w:r>
      <w:r>
        <w:rPr>
          <w:rFonts w:cs="Tahoma" w:ascii="Tahoma" w:hAnsi="Tahoma"/>
          <w:color w:val="000000"/>
          <w:sz w:val="20"/>
          <w:lang w:val="sr-RS"/>
        </w:rPr>
        <w:t>може</w:t>
      </w:r>
      <w:r>
        <w:rPr>
          <w:rFonts w:cs="Tahoma" w:ascii="Tahoma" w:hAnsi="Tahoma"/>
          <w:color w:val="000000"/>
          <w:sz w:val="20"/>
          <w:lang w:val="sr-Latn-RS"/>
        </w:rPr>
        <w:t xml:space="preserve"> </w:t>
      </w:r>
      <w:r>
        <w:rPr>
          <w:rFonts w:cs="Tahoma" w:ascii="Tahoma" w:hAnsi="Tahoma"/>
          <w:color w:val="000000"/>
          <w:sz w:val="20"/>
          <w:lang w:val="sr-RS"/>
        </w:rPr>
        <w:t>пратити</w:t>
      </w:r>
      <w:r>
        <w:rPr>
          <w:rFonts w:cs="Tahoma" w:ascii="Tahoma" w:hAnsi="Tahoma"/>
          <w:color w:val="000000"/>
          <w:sz w:val="20"/>
          <w:lang w:val="sr-Latn-RS"/>
        </w:rPr>
        <w:t xml:space="preserve"> </w:t>
      </w:r>
      <w:r>
        <w:rPr>
          <w:rFonts w:cs="Tahoma" w:ascii="Tahoma" w:hAnsi="Tahoma"/>
          <w:color w:val="000000"/>
          <w:sz w:val="20"/>
          <w:lang w:val="sr-RS"/>
        </w:rPr>
        <w:t>остваривање</w:t>
      </w:r>
      <w:r>
        <w:rPr>
          <w:rFonts w:cs="Tahoma" w:ascii="Tahoma" w:hAnsi="Tahoma"/>
          <w:color w:val="000000"/>
          <w:sz w:val="20"/>
          <w:lang w:val="sr-Latn-RS"/>
        </w:rPr>
        <w:t xml:space="preserve"> </w:t>
      </w:r>
      <w:r>
        <w:rPr>
          <w:rFonts w:cs="Tahoma" w:ascii="Tahoma" w:hAnsi="Tahoma"/>
          <w:color w:val="000000"/>
          <w:sz w:val="20"/>
          <w:lang w:val="sr-RS"/>
        </w:rPr>
        <w:t>дефинисаних</w:t>
      </w:r>
      <w:r>
        <w:rPr>
          <w:rFonts w:cs="Tahoma" w:ascii="Tahoma" w:hAnsi="Tahoma"/>
          <w:color w:val="000000"/>
          <w:sz w:val="20"/>
          <w:lang w:val="sr-Latn-RS"/>
        </w:rPr>
        <w:t xml:space="preserve"> </w:t>
      </w:r>
      <w:r>
        <w:rPr>
          <w:rFonts w:cs="Tahoma" w:ascii="Tahoma" w:hAnsi="Tahoma"/>
          <w:color w:val="000000"/>
          <w:sz w:val="20"/>
          <w:lang w:val="sr-RS"/>
        </w:rPr>
        <w:t>циљева</w:t>
      </w:r>
      <w:r>
        <w:rPr>
          <w:rFonts w:cs="Tahoma" w:ascii="Tahoma" w:hAnsi="Tahoma"/>
          <w:color w:val="000000"/>
          <w:sz w:val="20"/>
          <w:lang w:val="sr-Latn-RS"/>
        </w:rPr>
        <w:t xml:space="preserve">. </w:t>
      </w:r>
      <w:r>
        <w:rPr>
          <w:rFonts w:cs="Tahoma" w:ascii="Tahoma" w:hAnsi="Tahoma"/>
          <w:color w:val="000000"/>
          <w:sz w:val="20"/>
        </w:rPr>
        <w:t>Он</w:t>
      </w:r>
      <w:r>
        <w:rPr>
          <w:rFonts w:cs="Tahoma" w:ascii="Tahoma" w:hAnsi="Tahoma"/>
          <w:color w:val="000000"/>
          <w:sz w:val="20"/>
          <w:lang w:val="sr-Latn-RS"/>
        </w:rPr>
        <w:t xml:space="preserve"> </w:t>
      </w:r>
      <w:r>
        <w:rPr>
          <w:rFonts w:cs="Tahoma" w:ascii="Tahoma" w:hAnsi="Tahoma"/>
          <w:color w:val="000000"/>
          <w:sz w:val="20"/>
        </w:rPr>
        <w:t>представља</w:t>
      </w:r>
      <w:r>
        <w:rPr>
          <w:rFonts w:cs="Tahoma" w:ascii="Tahoma" w:hAnsi="Tahoma"/>
          <w:color w:val="000000"/>
          <w:sz w:val="20"/>
          <w:lang w:val="sr-Latn-RS"/>
        </w:rPr>
        <w:t xml:space="preserve"> </w:t>
      </w:r>
      <w:r>
        <w:rPr>
          <w:rFonts w:cs="Tahoma" w:ascii="Tahoma" w:hAnsi="Tahoma"/>
          <w:color w:val="000000"/>
          <w:sz w:val="20"/>
        </w:rPr>
        <w:t>део</w:t>
      </w:r>
      <w:r>
        <w:rPr>
          <w:rFonts w:cs="Tahoma" w:ascii="Tahoma" w:hAnsi="Tahoma"/>
          <w:color w:val="000000"/>
          <w:sz w:val="20"/>
          <w:lang w:val="sr-Latn-RS"/>
        </w:rPr>
        <w:t xml:space="preserve"> </w:t>
      </w:r>
      <w:r>
        <w:rPr>
          <w:rFonts w:cs="Tahoma" w:ascii="Tahoma" w:hAnsi="Tahoma"/>
          <w:color w:val="000000"/>
          <w:sz w:val="20"/>
        </w:rPr>
        <w:t>напора</w:t>
      </w:r>
      <w:r>
        <w:rPr>
          <w:rFonts w:cs="Tahoma" w:ascii="Tahoma" w:hAnsi="Tahoma"/>
          <w:color w:val="000000"/>
          <w:sz w:val="20"/>
          <w:lang w:val="sr-Latn-RS"/>
        </w:rPr>
        <w:t xml:space="preserve"> </w:t>
      </w:r>
      <w:r>
        <w:rPr>
          <w:rFonts w:cs="Tahoma" w:ascii="Tahoma" w:hAnsi="Tahoma"/>
          <w:color w:val="000000"/>
          <w:sz w:val="20"/>
        </w:rPr>
        <w:t>које</w:t>
      </w:r>
      <w:r>
        <w:rPr>
          <w:rFonts w:cs="Tahoma" w:ascii="Tahoma" w:hAnsi="Tahoma"/>
          <w:color w:val="000000"/>
          <w:sz w:val="20"/>
          <w:lang w:val="sr-Latn-RS"/>
        </w:rPr>
        <w:t xml:space="preserve"> </w:t>
      </w:r>
      <w:r>
        <w:rPr>
          <w:rFonts w:cs="Tahoma" w:ascii="Tahoma" w:hAnsi="Tahoma"/>
          <w:color w:val="000000"/>
          <w:sz w:val="20"/>
        </w:rPr>
        <w:t>локална</w:t>
      </w:r>
      <w:r>
        <w:rPr>
          <w:rFonts w:cs="Tahoma" w:ascii="Tahoma" w:hAnsi="Tahoma"/>
          <w:color w:val="000000"/>
          <w:sz w:val="20"/>
          <w:lang w:val="sr-Latn-RS"/>
        </w:rPr>
        <w:t xml:space="preserve"> </w:t>
      </w:r>
      <w:r>
        <w:rPr>
          <w:rFonts w:cs="Tahoma" w:ascii="Tahoma" w:hAnsi="Tahoma"/>
          <w:color w:val="000000"/>
          <w:sz w:val="20"/>
        </w:rPr>
        <w:t>заједница</w:t>
      </w:r>
      <w:r>
        <w:rPr>
          <w:rFonts w:cs="Tahoma" w:ascii="Tahoma" w:hAnsi="Tahoma"/>
          <w:color w:val="000000"/>
          <w:sz w:val="20"/>
          <w:lang w:val="sr-Latn-RS"/>
        </w:rPr>
        <w:t xml:space="preserve"> </w:t>
      </w:r>
      <w:r>
        <w:rPr>
          <w:rFonts w:cs="Tahoma" w:ascii="Tahoma" w:hAnsi="Tahoma"/>
          <w:color w:val="000000"/>
          <w:sz w:val="20"/>
        </w:rPr>
        <w:t>чини</w:t>
      </w:r>
      <w:r>
        <w:rPr>
          <w:rFonts w:cs="Tahoma" w:ascii="Tahoma" w:hAnsi="Tahoma"/>
          <w:color w:val="000000"/>
          <w:sz w:val="20"/>
          <w:lang w:val="sr-Latn-RS"/>
        </w:rPr>
        <w:t xml:space="preserve"> </w:t>
      </w:r>
      <w:r>
        <w:rPr>
          <w:rFonts w:cs="Tahoma" w:ascii="Tahoma" w:hAnsi="Tahoma"/>
          <w:color w:val="000000"/>
          <w:sz w:val="20"/>
        </w:rPr>
        <w:t>током</w:t>
      </w:r>
      <w:r>
        <w:rPr>
          <w:rFonts w:cs="Tahoma" w:ascii="Tahoma" w:hAnsi="Tahoma"/>
          <w:color w:val="000000"/>
          <w:sz w:val="20"/>
          <w:lang w:val="sr-Latn-RS"/>
        </w:rPr>
        <w:t xml:space="preserve"> </w:t>
      </w:r>
      <w:r>
        <w:rPr>
          <w:rFonts w:cs="Tahoma" w:ascii="Tahoma" w:hAnsi="Tahoma"/>
          <w:color w:val="000000"/>
          <w:sz w:val="20"/>
        </w:rPr>
        <w:t>низа</w:t>
      </w:r>
      <w:r>
        <w:rPr>
          <w:rFonts w:cs="Tahoma" w:ascii="Tahoma" w:hAnsi="Tahoma"/>
          <w:color w:val="000000"/>
          <w:sz w:val="20"/>
          <w:lang w:val="sr-Latn-RS"/>
        </w:rPr>
        <w:t xml:space="preserve"> </w:t>
      </w:r>
      <w:r>
        <w:rPr>
          <w:rFonts w:cs="Tahoma" w:ascii="Tahoma" w:hAnsi="Tahoma"/>
          <w:color w:val="000000"/>
          <w:sz w:val="20"/>
        </w:rPr>
        <w:t>година</w:t>
      </w:r>
      <w:r>
        <w:rPr>
          <w:rFonts w:cs="Tahoma" w:ascii="Tahoma" w:hAnsi="Tahoma"/>
          <w:color w:val="000000"/>
          <w:sz w:val="20"/>
          <w:lang w:val="sr-Latn-RS"/>
        </w:rPr>
        <w:t xml:space="preserve"> </w:t>
      </w:r>
      <w:r>
        <w:rPr>
          <w:rFonts w:cs="Tahoma" w:ascii="Tahoma" w:hAnsi="Tahoma"/>
          <w:color w:val="000000"/>
          <w:sz w:val="20"/>
        </w:rPr>
        <w:t>са</w:t>
      </w:r>
      <w:r>
        <w:rPr>
          <w:rFonts w:cs="Tahoma" w:ascii="Tahoma" w:hAnsi="Tahoma"/>
          <w:color w:val="000000"/>
          <w:sz w:val="20"/>
          <w:lang w:val="sr-Latn-RS"/>
        </w:rPr>
        <w:t xml:space="preserve"> </w:t>
      </w:r>
      <w:r>
        <w:rPr>
          <w:rFonts w:cs="Tahoma" w:ascii="Tahoma" w:hAnsi="Tahoma"/>
          <w:color w:val="000000"/>
          <w:sz w:val="20"/>
        </w:rPr>
        <w:t>основним</w:t>
      </w:r>
      <w:r>
        <w:rPr>
          <w:rFonts w:cs="Tahoma" w:ascii="Tahoma" w:hAnsi="Tahoma"/>
          <w:color w:val="000000"/>
          <w:sz w:val="20"/>
          <w:lang w:val="sr-Latn-RS"/>
        </w:rPr>
        <w:t xml:space="preserve"> </w:t>
      </w:r>
      <w:r>
        <w:rPr>
          <w:rFonts w:cs="Tahoma" w:ascii="Tahoma" w:hAnsi="Tahoma"/>
          <w:color w:val="000000"/>
          <w:sz w:val="20"/>
        </w:rPr>
        <w:t>циљем</w:t>
      </w:r>
      <w:r>
        <w:rPr>
          <w:rFonts w:cs="Tahoma" w:ascii="Tahoma" w:hAnsi="Tahoma"/>
          <w:color w:val="000000"/>
          <w:sz w:val="20"/>
          <w:lang w:val="sr-Latn-RS"/>
        </w:rPr>
        <w:t xml:space="preserve"> </w:t>
      </w:r>
      <w:r>
        <w:rPr>
          <w:rFonts w:cs="Tahoma" w:ascii="Tahoma" w:hAnsi="Tahoma"/>
          <w:color w:val="000000"/>
          <w:sz w:val="20"/>
        </w:rPr>
        <w:t>да</w:t>
      </w:r>
      <w:r>
        <w:rPr>
          <w:rFonts w:cs="Tahoma" w:ascii="Tahoma" w:hAnsi="Tahoma"/>
          <w:color w:val="000000"/>
          <w:sz w:val="20"/>
          <w:lang w:val="sr-Latn-RS"/>
        </w:rPr>
        <w:t xml:space="preserve"> </w:t>
      </w:r>
      <w:r>
        <w:rPr>
          <w:rFonts w:cs="Tahoma" w:ascii="Tahoma" w:hAnsi="Tahoma"/>
          <w:color w:val="000000"/>
          <w:sz w:val="20"/>
        </w:rPr>
        <w:t>се</w:t>
      </w:r>
      <w:r>
        <w:rPr>
          <w:rFonts w:cs="Tahoma" w:ascii="Tahoma" w:hAnsi="Tahoma"/>
          <w:color w:val="000000"/>
          <w:sz w:val="20"/>
          <w:lang w:val="sr-Latn-RS"/>
        </w:rPr>
        <w:t xml:space="preserve"> </w:t>
      </w:r>
      <w:r>
        <w:rPr>
          <w:rFonts w:cs="Tahoma" w:ascii="Tahoma" w:hAnsi="Tahoma"/>
          <w:color w:val="000000"/>
          <w:sz w:val="20"/>
        </w:rPr>
        <w:t>у</w:t>
      </w:r>
      <w:r>
        <w:rPr>
          <w:rFonts w:cs="Tahoma" w:ascii="Tahoma" w:hAnsi="Tahoma"/>
          <w:color w:val="000000"/>
          <w:sz w:val="20"/>
          <w:lang w:val="sr-Latn-RS"/>
        </w:rPr>
        <w:t xml:space="preserve"> </w:t>
      </w:r>
      <w:r>
        <w:rPr>
          <w:rFonts w:cs="Tahoma" w:ascii="Tahoma" w:hAnsi="Tahoma"/>
          <w:color w:val="000000"/>
          <w:sz w:val="20"/>
        </w:rPr>
        <w:t>пуној</w:t>
      </w:r>
      <w:r>
        <w:rPr>
          <w:rFonts w:cs="Tahoma" w:ascii="Tahoma" w:hAnsi="Tahoma"/>
          <w:color w:val="000000"/>
          <w:sz w:val="20"/>
          <w:lang w:val="sr-Latn-RS"/>
        </w:rPr>
        <w:t xml:space="preserve"> </w:t>
      </w:r>
      <w:r>
        <w:rPr>
          <w:rFonts w:cs="Tahoma" w:ascii="Tahoma" w:hAnsi="Tahoma"/>
          <w:color w:val="000000"/>
          <w:sz w:val="20"/>
        </w:rPr>
        <w:t>мери</w:t>
      </w:r>
      <w:r>
        <w:rPr>
          <w:rFonts w:cs="Tahoma" w:ascii="Tahoma" w:hAnsi="Tahoma"/>
          <w:color w:val="000000"/>
          <w:sz w:val="20"/>
          <w:lang w:val="sr-Latn-RS"/>
        </w:rPr>
        <w:t xml:space="preserve"> </w:t>
      </w:r>
      <w:r>
        <w:rPr>
          <w:rFonts w:cs="Tahoma" w:ascii="Tahoma" w:hAnsi="Tahoma"/>
          <w:color w:val="000000"/>
          <w:sz w:val="20"/>
        </w:rPr>
        <w:t>имплементирају</w:t>
      </w:r>
      <w:r>
        <w:rPr>
          <w:rFonts w:cs="Tahoma" w:ascii="Tahoma" w:hAnsi="Tahoma"/>
          <w:color w:val="000000"/>
          <w:sz w:val="20"/>
          <w:lang w:val="sr-Latn-RS"/>
        </w:rPr>
        <w:t xml:space="preserve"> </w:t>
      </w:r>
      <w:r>
        <w:rPr>
          <w:rFonts w:cs="Tahoma" w:ascii="Tahoma" w:hAnsi="Tahoma"/>
          <w:color w:val="000000"/>
          <w:sz w:val="20"/>
          <w:lang w:val="sr-RS"/>
        </w:rPr>
        <w:t xml:space="preserve">инклузивне социјалне </w:t>
      </w:r>
      <w:r>
        <w:rPr>
          <w:rFonts w:cs="Tahoma" w:ascii="Tahoma" w:hAnsi="Tahoma"/>
          <w:color w:val="000000"/>
          <w:sz w:val="20"/>
        </w:rPr>
        <w:t>политике</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праксе</w:t>
      </w:r>
      <w:r>
        <w:rPr>
          <w:rFonts w:cs="Tahoma" w:ascii="Tahoma" w:hAnsi="Tahoma"/>
          <w:color w:val="000000"/>
          <w:sz w:val="20"/>
          <w:lang w:val="sr-Latn-RS"/>
        </w:rPr>
        <w:t>.</w:t>
      </w:r>
    </w:p>
    <w:p>
      <w:pPr>
        <w:pStyle w:val="Normal"/>
        <w:spacing w:lineRule="auto" w:line="240" w:before="240" w:after="160"/>
        <w:jc w:val="both"/>
        <w:rPr>
          <w:rFonts w:ascii="Tahoma" w:hAnsi="Tahoma" w:cs="Tahoma"/>
          <w:color w:val="000000"/>
          <w:sz w:val="20"/>
          <w:lang w:val="sr-Latn-RS"/>
        </w:rPr>
      </w:pPr>
      <w:r>
        <w:rPr>
          <w:rFonts w:cs="Tahoma" w:ascii="Tahoma" w:hAnsi="Tahoma"/>
          <w:color w:val="000000"/>
          <w:sz w:val="20"/>
        </w:rPr>
        <w:t>Програм</w:t>
      </w:r>
      <w:r>
        <w:rPr>
          <w:rFonts w:cs="Tahoma" w:ascii="Tahoma" w:hAnsi="Tahoma"/>
          <w:color w:val="000000"/>
          <w:sz w:val="20"/>
          <w:lang w:val="sr-Latn-RS"/>
        </w:rPr>
        <w:t xml:space="preserve"> </w:t>
      </w:r>
      <w:r>
        <w:rPr>
          <w:rFonts w:cs="Tahoma" w:ascii="Tahoma" w:hAnsi="Tahoma"/>
          <w:color w:val="000000"/>
          <w:sz w:val="20"/>
        </w:rPr>
        <w:t>почива</w:t>
      </w:r>
      <w:r>
        <w:rPr>
          <w:rFonts w:cs="Tahoma" w:ascii="Tahoma" w:hAnsi="Tahoma"/>
          <w:color w:val="000000"/>
          <w:sz w:val="20"/>
          <w:lang w:val="sr-Latn-RS"/>
        </w:rPr>
        <w:t xml:space="preserve"> </w:t>
      </w:r>
      <w:r>
        <w:rPr>
          <w:rFonts w:cs="Tahoma" w:ascii="Tahoma" w:hAnsi="Tahoma"/>
          <w:color w:val="000000"/>
          <w:sz w:val="20"/>
        </w:rPr>
        <w:t>на</w:t>
      </w:r>
      <w:r>
        <w:rPr>
          <w:rFonts w:cs="Tahoma" w:ascii="Tahoma" w:hAnsi="Tahoma"/>
          <w:color w:val="000000"/>
          <w:sz w:val="20"/>
          <w:lang w:val="sr-Latn-RS"/>
        </w:rPr>
        <w:t xml:space="preserve"> </w:t>
      </w:r>
      <w:r>
        <w:rPr>
          <w:rFonts w:cs="Tahoma" w:ascii="Tahoma" w:hAnsi="Tahoma"/>
          <w:color w:val="000000"/>
          <w:sz w:val="20"/>
        </w:rPr>
        <w:t>анализи</w:t>
      </w:r>
      <w:r>
        <w:rPr>
          <w:rFonts w:cs="Tahoma" w:ascii="Tahoma" w:hAnsi="Tahoma"/>
          <w:color w:val="000000"/>
          <w:sz w:val="20"/>
          <w:lang w:val="sr-Latn-RS"/>
        </w:rPr>
        <w:t xml:space="preserve"> </w:t>
      </w:r>
      <w:r>
        <w:rPr>
          <w:rFonts w:cs="Tahoma" w:ascii="Tahoma" w:hAnsi="Tahoma"/>
          <w:color w:val="000000"/>
          <w:sz w:val="20"/>
        </w:rPr>
        <w:t>релевантних</w:t>
      </w:r>
      <w:r>
        <w:rPr>
          <w:rFonts w:cs="Tahoma" w:ascii="Tahoma" w:hAnsi="Tahoma"/>
          <w:color w:val="000000"/>
          <w:sz w:val="20"/>
          <w:lang w:val="sr-Latn-RS"/>
        </w:rPr>
        <w:t xml:space="preserve"> </w:t>
      </w:r>
      <w:r>
        <w:rPr>
          <w:rFonts w:cs="Tahoma" w:ascii="Tahoma" w:hAnsi="Tahoma"/>
          <w:color w:val="000000"/>
          <w:sz w:val="20"/>
        </w:rPr>
        <w:t>националних</w:t>
      </w:r>
      <w:r>
        <w:rPr>
          <w:rFonts w:cs="Tahoma" w:ascii="Tahoma" w:hAnsi="Tahoma"/>
          <w:color w:val="000000"/>
          <w:sz w:val="20"/>
          <w:lang w:val="sr-Latn-RS"/>
        </w:rPr>
        <w:t xml:space="preserve"> </w:t>
      </w:r>
      <w:r>
        <w:rPr>
          <w:rFonts w:cs="Tahoma" w:ascii="Tahoma" w:hAnsi="Tahoma"/>
          <w:color w:val="000000"/>
          <w:sz w:val="20"/>
        </w:rPr>
        <w:t>стратешких</w:t>
      </w:r>
      <w:r>
        <w:rPr>
          <w:rFonts w:cs="Tahoma" w:ascii="Tahoma" w:hAnsi="Tahoma"/>
          <w:color w:val="000000"/>
          <w:sz w:val="20"/>
          <w:lang w:val="sr-Latn-RS"/>
        </w:rPr>
        <w:t xml:space="preserve"> </w:t>
      </w:r>
      <w:r>
        <w:rPr>
          <w:rFonts w:cs="Tahoma" w:ascii="Tahoma" w:hAnsi="Tahoma"/>
          <w:color w:val="000000"/>
          <w:sz w:val="20"/>
        </w:rPr>
        <w:t>докумената</w:t>
      </w:r>
      <w:r>
        <w:rPr>
          <w:rFonts w:cs="Tahoma" w:ascii="Tahoma" w:hAnsi="Tahoma"/>
          <w:color w:val="000000"/>
          <w:sz w:val="20"/>
          <w:lang w:val="sr-Latn-RS"/>
        </w:rPr>
        <w:t xml:space="preserve">, </w:t>
      </w:r>
      <w:r>
        <w:rPr>
          <w:rFonts w:cs="Tahoma" w:ascii="Tahoma" w:hAnsi="Tahoma"/>
          <w:color w:val="000000"/>
          <w:sz w:val="20"/>
        </w:rPr>
        <w:t>локалних</w:t>
      </w:r>
      <w:r>
        <w:rPr>
          <w:rFonts w:cs="Tahoma" w:ascii="Tahoma" w:hAnsi="Tahoma"/>
          <w:color w:val="000000"/>
          <w:sz w:val="20"/>
          <w:lang w:val="sr-Latn-RS"/>
        </w:rPr>
        <w:t xml:space="preserve"> </w:t>
      </w:r>
      <w:r>
        <w:rPr>
          <w:rFonts w:cs="Tahoma" w:ascii="Tahoma" w:hAnsi="Tahoma"/>
          <w:color w:val="000000"/>
          <w:sz w:val="20"/>
        </w:rPr>
        <w:t>података</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процени</w:t>
      </w:r>
      <w:r>
        <w:rPr>
          <w:rFonts w:cs="Tahoma" w:ascii="Tahoma" w:hAnsi="Tahoma"/>
          <w:color w:val="000000"/>
          <w:sz w:val="20"/>
          <w:lang w:val="sr-Latn-RS"/>
        </w:rPr>
        <w:t xml:space="preserve"> </w:t>
      </w:r>
      <w:r>
        <w:rPr>
          <w:rFonts w:cs="Tahoma" w:ascii="Tahoma" w:hAnsi="Tahoma"/>
          <w:color w:val="000000"/>
          <w:sz w:val="20"/>
        </w:rPr>
        <w:t>потреба</w:t>
      </w:r>
      <w:r>
        <w:rPr>
          <w:rFonts w:cs="Tahoma" w:ascii="Tahoma" w:hAnsi="Tahoma"/>
          <w:color w:val="000000"/>
          <w:sz w:val="20"/>
          <w:lang w:val="sr-Latn-RS"/>
        </w:rPr>
        <w:t xml:space="preserve"> </w:t>
      </w:r>
      <w:r>
        <w:rPr>
          <w:rFonts w:cs="Tahoma" w:ascii="Tahoma" w:hAnsi="Tahoma"/>
          <w:color w:val="000000"/>
          <w:sz w:val="20"/>
          <w:lang w:val="sr-RS"/>
        </w:rPr>
        <w:t>грађана</w:t>
      </w:r>
      <w:r>
        <w:rPr>
          <w:rFonts w:cs="Tahoma" w:ascii="Tahoma" w:hAnsi="Tahoma"/>
          <w:color w:val="000000"/>
          <w:sz w:val="20"/>
          <w:lang w:val="sr-Latn-RS"/>
        </w:rPr>
        <w:t xml:space="preserve"> </w:t>
      </w:r>
      <w:r>
        <w:rPr>
          <w:rFonts w:cs="Tahoma" w:ascii="Tahoma" w:hAnsi="Tahoma"/>
          <w:color w:val="000000"/>
          <w:sz w:val="20"/>
        </w:rPr>
        <w:t>на</w:t>
      </w:r>
      <w:r>
        <w:rPr>
          <w:rFonts w:cs="Tahoma" w:ascii="Tahoma" w:hAnsi="Tahoma"/>
          <w:color w:val="000000"/>
          <w:sz w:val="20"/>
          <w:lang w:val="sr-Latn-RS"/>
        </w:rPr>
        <w:t xml:space="preserve"> </w:t>
      </w:r>
      <w:r>
        <w:rPr>
          <w:rFonts w:cs="Tahoma" w:ascii="Tahoma" w:hAnsi="Tahoma"/>
          <w:color w:val="000000"/>
          <w:sz w:val="20"/>
        </w:rPr>
        <w:t>подручју</w:t>
      </w:r>
      <w:r>
        <w:rPr>
          <w:rFonts w:cs="Tahoma" w:ascii="Tahoma" w:hAnsi="Tahoma"/>
          <w:color w:val="000000"/>
          <w:sz w:val="20"/>
          <w:lang w:val="sr-Latn-RS"/>
        </w:rPr>
        <w:t xml:space="preserve"> </w:t>
      </w:r>
      <w:r>
        <w:rPr>
          <w:rFonts w:cs="Tahoma" w:ascii="Tahoma" w:hAnsi="Tahoma"/>
          <w:color w:val="000000"/>
          <w:sz w:val="20"/>
        </w:rPr>
        <w:t>општине</w:t>
      </w:r>
      <w:r>
        <w:rPr>
          <w:rFonts w:cs="Tahoma" w:ascii="Tahoma" w:hAnsi="Tahoma"/>
          <w:color w:val="000000"/>
          <w:sz w:val="20"/>
          <w:lang w:val="sr-Latn-RS"/>
        </w:rPr>
        <w:t xml:space="preserve"> </w:t>
      </w:r>
      <w:r>
        <w:rPr>
          <w:rFonts w:cs="Tahoma" w:ascii="Tahoma" w:hAnsi="Tahoma"/>
          <w:color w:val="000000"/>
          <w:sz w:val="20"/>
          <w:lang w:val="sr-RS"/>
        </w:rPr>
        <w:t>Беочин</w:t>
      </w:r>
      <w:r>
        <w:rPr>
          <w:rFonts w:cs="Tahoma" w:ascii="Tahoma" w:hAnsi="Tahoma"/>
          <w:color w:val="000000"/>
          <w:sz w:val="20"/>
          <w:lang w:val="sr-Latn-RS"/>
        </w:rPr>
        <w:t xml:space="preserve">. </w:t>
      </w:r>
      <w:r>
        <w:rPr>
          <w:rFonts w:cs="Tahoma" w:ascii="Tahoma" w:hAnsi="Tahoma"/>
          <w:color w:val="000000"/>
          <w:sz w:val="20"/>
        </w:rPr>
        <w:t>Израђен</w:t>
      </w:r>
      <w:r>
        <w:rPr>
          <w:rFonts w:cs="Tahoma" w:ascii="Tahoma" w:hAnsi="Tahoma"/>
          <w:color w:val="000000"/>
          <w:sz w:val="20"/>
          <w:lang w:val="sr-Latn-RS"/>
        </w:rPr>
        <w:t xml:space="preserve"> </w:t>
      </w:r>
      <w:r>
        <w:rPr>
          <w:rFonts w:cs="Tahoma" w:ascii="Tahoma" w:hAnsi="Tahoma"/>
          <w:color w:val="000000"/>
          <w:sz w:val="20"/>
        </w:rPr>
        <w:t>је</w:t>
      </w:r>
      <w:r>
        <w:rPr>
          <w:rFonts w:cs="Tahoma" w:ascii="Tahoma" w:hAnsi="Tahoma"/>
          <w:color w:val="000000"/>
          <w:sz w:val="20"/>
          <w:lang w:val="sr-Latn-RS"/>
        </w:rPr>
        <w:t xml:space="preserve"> </w:t>
      </w:r>
      <w:r>
        <w:rPr>
          <w:rFonts w:cs="Tahoma" w:ascii="Tahoma" w:hAnsi="Tahoma"/>
          <w:color w:val="000000"/>
          <w:sz w:val="20"/>
        </w:rPr>
        <w:t>кроз</w:t>
      </w:r>
      <w:r>
        <w:rPr>
          <w:rFonts w:cs="Tahoma" w:ascii="Tahoma" w:hAnsi="Tahoma"/>
          <w:color w:val="000000"/>
          <w:sz w:val="20"/>
          <w:lang w:val="sr-Latn-RS"/>
        </w:rPr>
        <w:t xml:space="preserve"> </w:t>
      </w:r>
      <w:r>
        <w:rPr>
          <w:rFonts w:cs="Tahoma" w:ascii="Tahoma" w:hAnsi="Tahoma"/>
          <w:color w:val="000000"/>
          <w:sz w:val="20"/>
        </w:rPr>
        <w:t>партиципативни</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партнерски</w:t>
      </w:r>
      <w:r>
        <w:rPr>
          <w:rFonts w:cs="Tahoma" w:ascii="Tahoma" w:hAnsi="Tahoma"/>
          <w:color w:val="000000"/>
          <w:sz w:val="20"/>
          <w:lang w:val="sr-Latn-RS"/>
        </w:rPr>
        <w:t xml:space="preserve"> </w:t>
      </w:r>
      <w:r>
        <w:rPr>
          <w:rFonts w:cs="Tahoma" w:ascii="Tahoma" w:hAnsi="Tahoma"/>
          <w:color w:val="000000"/>
          <w:sz w:val="20"/>
        </w:rPr>
        <w:t>приступ</w:t>
      </w:r>
      <w:r>
        <w:rPr>
          <w:rFonts w:cs="Tahoma" w:ascii="Tahoma" w:hAnsi="Tahoma"/>
          <w:color w:val="000000"/>
          <w:sz w:val="20"/>
          <w:lang w:val="sr-Latn-RS"/>
        </w:rPr>
        <w:t xml:space="preserve"> </w:t>
      </w:r>
      <w:r>
        <w:rPr>
          <w:rFonts w:cs="Tahoma" w:ascii="Tahoma" w:hAnsi="Tahoma"/>
          <w:color w:val="000000"/>
          <w:sz w:val="20"/>
        </w:rPr>
        <w:t>који</w:t>
      </w:r>
      <w:r>
        <w:rPr>
          <w:rFonts w:cs="Tahoma" w:ascii="Tahoma" w:hAnsi="Tahoma"/>
          <w:color w:val="000000"/>
          <w:sz w:val="20"/>
          <w:lang w:val="sr-Latn-RS"/>
        </w:rPr>
        <w:t xml:space="preserve"> </w:t>
      </w:r>
      <w:r>
        <w:rPr>
          <w:rFonts w:cs="Tahoma" w:ascii="Tahoma" w:hAnsi="Tahoma"/>
          <w:color w:val="000000"/>
          <w:sz w:val="20"/>
        </w:rPr>
        <w:t>ће</w:t>
      </w:r>
      <w:r>
        <w:rPr>
          <w:rFonts w:cs="Tahoma" w:ascii="Tahoma" w:hAnsi="Tahoma"/>
          <w:color w:val="000000"/>
          <w:sz w:val="20"/>
          <w:lang w:val="sr-Latn-RS"/>
        </w:rPr>
        <w:t xml:space="preserve"> </w:t>
      </w:r>
      <w:r>
        <w:rPr>
          <w:rFonts w:cs="Tahoma" w:ascii="Tahoma" w:hAnsi="Tahoma"/>
          <w:color w:val="000000"/>
          <w:sz w:val="20"/>
        </w:rPr>
        <w:t>бити</w:t>
      </w:r>
      <w:r>
        <w:rPr>
          <w:rFonts w:cs="Tahoma" w:ascii="Tahoma" w:hAnsi="Tahoma"/>
          <w:color w:val="000000"/>
          <w:sz w:val="20"/>
          <w:lang w:val="sr-Latn-RS"/>
        </w:rPr>
        <w:t xml:space="preserve"> </w:t>
      </w:r>
      <w:r>
        <w:rPr>
          <w:rFonts w:cs="Tahoma" w:ascii="Tahoma" w:hAnsi="Tahoma"/>
          <w:color w:val="000000"/>
          <w:sz w:val="20"/>
        </w:rPr>
        <w:t>примењен</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у</w:t>
      </w:r>
      <w:r>
        <w:rPr>
          <w:rFonts w:cs="Tahoma" w:ascii="Tahoma" w:hAnsi="Tahoma"/>
          <w:color w:val="000000"/>
          <w:sz w:val="20"/>
          <w:lang w:val="sr-Latn-RS"/>
        </w:rPr>
        <w:t xml:space="preserve"> </w:t>
      </w:r>
      <w:r>
        <w:rPr>
          <w:rFonts w:cs="Tahoma" w:ascii="Tahoma" w:hAnsi="Tahoma"/>
          <w:color w:val="000000"/>
          <w:sz w:val="20"/>
        </w:rPr>
        <w:t>процесу</w:t>
      </w:r>
      <w:r>
        <w:rPr>
          <w:rFonts w:cs="Tahoma" w:ascii="Tahoma" w:hAnsi="Tahoma"/>
          <w:color w:val="000000"/>
          <w:sz w:val="20"/>
          <w:lang w:val="sr-Latn-RS"/>
        </w:rPr>
        <w:t xml:space="preserve"> </w:t>
      </w:r>
      <w:r>
        <w:rPr>
          <w:rFonts w:cs="Tahoma" w:ascii="Tahoma" w:hAnsi="Tahoma"/>
          <w:color w:val="000000"/>
          <w:sz w:val="20"/>
        </w:rPr>
        <w:t>његове</w:t>
      </w:r>
      <w:r>
        <w:rPr>
          <w:rFonts w:cs="Tahoma" w:ascii="Tahoma" w:hAnsi="Tahoma"/>
          <w:color w:val="000000"/>
          <w:sz w:val="20"/>
          <w:lang w:val="sr-Latn-RS"/>
        </w:rPr>
        <w:t xml:space="preserve"> </w:t>
      </w:r>
      <w:r>
        <w:rPr>
          <w:rFonts w:cs="Tahoma" w:ascii="Tahoma" w:hAnsi="Tahoma"/>
          <w:color w:val="000000"/>
          <w:sz w:val="20"/>
          <w:lang w:val="sr-RS"/>
        </w:rPr>
        <w:t>имплементације</w:t>
      </w:r>
      <w:r>
        <w:rPr>
          <w:rFonts w:cs="Tahoma" w:ascii="Tahoma" w:hAnsi="Tahoma"/>
          <w:color w:val="000000"/>
          <w:sz w:val="20"/>
          <w:lang w:val="sr-Latn-RS"/>
        </w:rPr>
        <w:t xml:space="preserve">, </w:t>
      </w:r>
      <w:r>
        <w:rPr>
          <w:rFonts w:cs="Tahoma" w:ascii="Tahoma" w:hAnsi="Tahoma"/>
          <w:color w:val="000000"/>
          <w:sz w:val="20"/>
        </w:rPr>
        <w:t>праћења</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извештавања</w:t>
      </w:r>
      <w:r>
        <w:rPr>
          <w:rFonts w:cs="Tahoma" w:ascii="Tahoma" w:hAnsi="Tahoma"/>
          <w:color w:val="000000"/>
          <w:sz w:val="20"/>
          <w:lang w:val="sr-Latn-RS"/>
        </w:rPr>
        <w:t xml:space="preserve">. </w:t>
      </w:r>
      <w:r>
        <w:rPr>
          <w:rFonts w:cs="Tahoma" w:ascii="Tahoma" w:hAnsi="Tahoma"/>
          <w:color w:val="000000"/>
          <w:sz w:val="20"/>
        </w:rPr>
        <w:t>Општина</w:t>
      </w:r>
      <w:r>
        <w:rPr>
          <w:rFonts w:cs="Tahoma" w:ascii="Tahoma" w:hAnsi="Tahoma"/>
          <w:color w:val="000000"/>
          <w:sz w:val="20"/>
          <w:lang w:val="sr-Latn-RS"/>
        </w:rPr>
        <w:t xml:space="preserve"> </w:t>
      </w:r>
      <w:r>
        <w:rPr>
          <w:rFonts w:cs="Tahoma" w:ascii="Tahoma" w:hAnsi="Tahoma"/>
          <w:color w:val="000000"/>
          <w:sz w:val="20"/>
          <w:lang w:val="sr-RS"/>
        </w:rPr>
        <w:t>Беочин</w:t>
      </w:r>
      <w:r>
        <w:rPr>
          <w:rFonts w:cs="Tahoma" w:ascii="Tahoma" w:hAnsi="Tahoma"/>
          <w:color w:val="000000"/>
          <w:sz w:val="20"/>
          <w:lang w:val="sr-Latn-RS"/>
        </w:rPr>
        <w:t xml:space="preserve"> </w:t>
      </w:r>
      <w:r>
        <w:rPr>
          <w:rFonts w:cs="Tahoma" w:ascii="Tahoma" w:hAnsi="Tahoma"/>
          <w:color w:val="000000"/>
          <w:sz w:val="20"/>
        </w:rPr>
        <w:t>намерава</w:t>
      </w:r>
      <w:r>
        <w:rPr>
          <w:rFonts w:cs="Tahoma" w:ascii="Tahoma" w:hAnsi="Tahoma"/>
          <w:color w:val="000000"/>
          <w:sz w:val="20"/>
          <w:lang w:val="sr-Latn-RS"/>
        </w:rPr>
        <w:t xml:space="preserve"> </w:t>
      </w:r>
      <w:r>
        <w:rPr>
          <w:rFonts w:cs="Tahoma" w:ascii="Tahoma" w:hAnsi="Tahoma"/>
          <w:color w:val="000000"/>
          <w:sz w:val="20"/>
        </w:rPr>
        <w:t>да</w:t>
      </w:r>
      <w:r>
        <w:rPr>
          <w:rFonts w:cs="Tahoma" w:ascii="Tahoma" w:hAnsi="Tahoma"/>
          <w:color w:val="000000"/>
          <w:sz w:val="20"/>
          <w:lang w:val="sr-Latn-RS"/>
        </w:rPr>
        <w:t xml:space="preserve"> </w:t>
      </w:r>
      <w:r>
        <w:rPr>
          <w:rFonts w:cs="Tahoma" w:ascii="Tahoma" w:hAnsi="Tahoma"/>
          <w:color w:val="000000"/>
          <w:sz w:val="20"/>
        </w:rPr>
        <w:t>у</w:t>
      </w:r>
      <w:r>
        <w:rPr>
          <w:rFonts w:cs="Tahoma" w:ascii="Tahoma" w:hAnsi="Tahoma"/>
          <w:color w:val="000000"/>
          <w:sz w:val="20"/>
          <w:lang w:val="sr-Latn-RS"/>
        </w:rPr>
        <w:t xml:space="preserve"> </w:t>
      </w:r>
      <w:r>
        <w:rPr>
          <w:rFonts w:cs="Tahoma" w:ascii="Tahoma" w:hAnsi="Tahoma"/>
          <w:color w:val="000000"/>
          <w:sz w:val="20"/>
        </w:rPr>
        <w:t>реализацију</w:t>
      </w:r>
      <w:r>
        <w:rPr>
          <w:rFonts w:cs="Tahoma" w:ascii="Tahoma" w:hAnsi="Tahoma"/>
          <w:color w:val="000000"/>
          <w:sz w:val="20"/>
          <w:lang w:val="sr-Latn-RS"/>
        </w:rPr>
        <w:t xml:space="preserve"> </w:t>
      </w:r>
      <w:r>
        <w:rPr>
          <w:rFonts w:cs="Tahoma" w:ascii="Tahoma" w:hAnsi="Tahoma"/>
          <w:color w:val="000000"/>
          <w:sz w:val="20"/>
        </w:rPr>
        <w:t>дефинисаних</w:t>
      </w:r>
      <w:r>
        <w:rPr>
          <w:rFonts w:cs="Tahoma" w:ascii="Tahoma" w:hAnsi="Tahoma"/>
          <w:color w:val="000000"/>
          <w:sz w:val="20"/>
          <w:lang w:val="sr-Latn-RS"/>
        </w:rPr>
        <w:t xml:space="preserve"> </w:t>
      </w:r>
      <w:r>
        <w:rPr>
          <w:rFonts w:cs="Tahoma" w:ascii="Tahoma" w:hAnsi="Tahoma"/>
          <w:color w:val="000000"/>
          <w:sz w:val="20"/>
        </w:rPr>
        <w:t>циљева</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активности</w:t>
      </w:r>
      <w:r>
        <w:rPr>
          <w:rFonts w:cs="Tahoma" w:ascii="Tahoma" w:hAnsi="Tahoma"/>
          <w:color w:val="000000"/>
          <w:sz w:val="20"/>
          <w:lang w:val="sr-Latn-RS"/>
        </w:rPr>
        <w:t xml:space="preserve"> </w:t>
      </w:r>
      <w:r>
        <w:rPr>
          <w:rFonts w:cs="Tahoma" w:ascii="Tahoma" w:hAnsi="Tahoma"/>
          <w:color w:val="000000"/>
          <w:sz w:val="20"/>
        </w:rPr>
        <w:t>укључи</w:t>
      </w:r>
      <w:r>
        <w:rPr>
          <w:rFonts w:cs="Tahoma" w:ascii="Tahoma" w:hAnsi="Tahoma"/>
          <w:color w:val="000000"/>
          <w:sz w:val="20"/>
          <w:lang w:val="sr-Latn-RS"/>
        </w:rPr>
        <w:t xml:space="preserve"> </w:t>
      </w:r>
      <w:r>
        <w:rPr>
          <w:rFonts w:cs="Tahoma" w:ascii="Tahoma" w:hAnsi="Tahoma"/>
          <w:color w:val="000000"/>
          <w:sz w:val="20"/>
        </w:rPr>
        <w:t>све</w:t>
      </w:r>
      <w:r>
        <w:rPr>
          <w:rFonts w:cs="Tahoma" w:ascii="Tahoma" w:hAnsi="Tahoma"/>
          <w:color w:val="000000"/>
          <w:sz w:val="20"/>
          <w:lang w:val="sr-Latn-RS"/>
        </w:rPr>
        <w:t xml:space="preserve"> </w:t>
      </w:r>
      <w:r>
        <w:rPr>
          <w:rFonts w:cs="Tahoma" w:ascii="Tahoma" w:hAnsi="Tahoma"/>
          <w:color w:val="000000"/>
          <w:sz w:val="20"/>
        </w:rPr>
        <w:t>релевантне</w:t>
      </w:r>
      <w:r>
        <w:rPr>
          <w:rFonts w:cs="Tahoma" w:ascii="Tahoma" w:hAnsi="Tahoma"/>
          <w:color w:val="000000"/>
          <w:sz w:val="20"/>
          <w:lang w:val="sr-Latn-RS"/>
        </w:rPr>
        <w:t xml:space="preserve"> </w:t>
      </w:r>
      <w:r>
        <w:rPr>
          <w:rFonts w:cs="Tahoma" w:ascii="Tahoma" w:hAnsi="Tahoma"/>
          <w:color w:val="000000"/>
          <w:sz w:val="20"/>
        </w:rPr>
        <w:t>актере</w:t>
      </w:r>
      <w:r>
        <w:rPr>
          <w:rFonts w:cs="Tahoma" w:ascii="Tahoma" w:hAnsi="Tahoma"/>
          <w:color w:val="000000"/>
          <w:sz w:val="20"/>
          <w:lang w:val="sr-Latn-RS"/>
        </w:rPr>
        <w:t xml:space="preserve"> </w:t>
      </w:r>
      <w:r>
        <w:rPr>
          <w:rFonts w:cs="Tahoma" w:ascii="Tahoma" w:hAnsi="Tahoma"/>
          <w:color w:val="000000"/>
          <w:sz w:val="20"/>
        </w:rPr>
        <w:t>из</w:t>
      </w:r>
      <w:r>
        <w:rPr>
          <w:rFonts w:cs="Tahoma" w:ascii="Tahoma" w:hAnsi="Tahoma"/>
          <w:color w:val="000000"/>
          <w:sz w:val="20"/>
          <w:lang w:val="sr-Latn-RS"/>
        </w:rPr>
        <w:t xml:space="preserve"> </w:t>
      </w:r>
      <w:r>
        <w:rPr>
          <w:rFonts w:cs="Tahoma" w:ascii="Tahoma" w:hAnsi="Tahoma"/>
          <w:color w:val="000000"/>
          <w:sz w:val="20"/>
        </w:rPr>
        <w:t>локалне</w:t>
      </w:r>
      <w:r>
        <w:rPr>
          <w:rFonts w:cs="Tahoma" w:ascii="Tahoma" w:hAnsi="Tahoma"/>
          <w:color w:val="000000"/>
          <w:sz w:val="20"/>
          <w:lang w:val="sr-Latn-RS"/>
        </w:rPr>
        <w:t xml:space="preserve"> </w:t>
      </w:r>
      <w:r>
        <w:rPr>
          <w:rFonts w:cs="Tahoma" w:ascii="Tahoma" w:hAnsi="Tahoma"/>
          <w:color w:val="000000"/>
          <w:sz w:val="20"/>
        </w:rPr>
        <w:t>заједнице</w:t>
      </w:r>
      <w:r>
        <w:rPr>
          <w:rFonts w:cs="Tahoma" w:ascii="Tahoma" w:hAnsi="Tahoma"/>
          <w:color w:val="000000"/>
          <w:sz w:val="20"/>
          <w:lang w:val="sr-Latn-RS"/>
        </w:rPr>
        <w:t xml:space="preserve">, </w:t>
      </w:r>
      <w:r>
        <w:rPr>
          <w:rFonts w:cs="Tahoma" w:ascii="Tahoma" w:hAnsi="Tahoma"/>
          <w:color w:val="000000"/>
          <w:sz w:val="20"/>
        </w:rPr>
        <w:t>као</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да</w:t>
      </w:r>
      <w:r>
        <w:rPr>
          <w:rFonts w:cs="Tahoma" w:ascii="Tahoma" w:hAnsi="Tahoma"/>
          <w:color w:val="000000"/>
          <w:sz w:val="20"/>
          <w:lang w:val="sr-Latn-RS"/>
        </w:rPr>
        <w:t xml:space="preserve"> </w:t>
      </w:r>
      <w:r>
        <w:rPr>
          <w:rFonts w:cs="Tahoma" w:ascii="Tahoma" w:hAnsi="Tahoma"/>
          <w:color w:val="000000"/>
          <w:sz w:val="20"/>
        </w:rPr>
        <w:t>сарађује</w:t>
      </w:r>
      <w:r>
        <w:rPr>
          <w:rFonts w:cs="Tahoma" w:ascii="Tahoma" w:hAnsi="Tahoma"/>
          <w:color w:val="000000"/>
          <w:sz w:val="20"/>
          <w:lang w:val="sr-Latn-RS"/>
        </w:rPr>
        <w:t xml:space="preserve"> </w:t>
      </w:r>
      <w:r>
        <w:rPr>
          <w:rFonts w:cs="Tahoma" w:ascii="Tahoma" w:hAnsi="Tahoma"/>
          <w:color w:val="000000"/>
          <w:sz w:val="20"/>
        </w:rPr>
        <w:t>са</w:t>
      </w:r>
      <w:r>
        <w:rPr>
          <w:rFonts w:cs="Tahoma" w:ascii="Tahoma" w:hAnsi="Tahoma"/>
          <w:color w:val="000000"/>
          <w:sz w:val="20"/>
          <w:lang w:val="sr-Latn-RS"/>
        </w:rPr>
        <w:t xml:space="preserve"> </w:t>
      </w:r>
      <w:r>
        <w:rPr>
          <w:rFonts w:cs="Tahoma" w:ascii="Tahoma" w:hAnsi="Tahoma"/>
          <w:color w:val="000000"/>
          <w:sz w:val="20"/>
        </w:rPr>
        <w:t>националним</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међународним</w:t>
      </w:r>
      <w:r>
        <w:rPr>
          <w:rFonts w:cs="Tahoma" w:ascii="Tahoma" w:hAnsi="Tahoma"/>
          <w:color w:val="000000"/>
          <w:sz w:val="20"/>
          <w:lang w:val="sr-Latn-RS"/>
        </w:rPr>
        <w:t xml:space="preserve"> </w:t>
      </w:r>
      <w:r>
        <w:rPr>
          <w:rFonts w:cs="Tahoma" w:ascii="Tahoma" w:hAnsi="Tahoma"/>
          <w:color w:val="000000"/>
          <w:sz w:val="20"/>
        </w:rPr>
        <w:t>организацијама</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институцијама</w:t>
      </w:r>
      <w:r>
        <w:rPr>
          <w:rFonts w:cs="Tahoma" w:ascii="Tahoma" w:hAnsi="Tahoma"/>
          <w:color w:val="000000"/>
          <w:sz w:val="20"/>
          <w:lang w:val="sr-Latn-RS"/>
        </w:rPr>
        <w:t xml:space="preserve"> </w:t>
      </w:r>
      <w:r>
        <w:rPr>
          <w:rFonts w:cs="Tahoma" w:ascii="Tahoma" w:hAnsi="Tahoma"/>
          <w:color w:val="000000"/>
          <w:sz w:val="20"/>
        </w:rPr>
        <w:t>који</w:t>
      </w:r>
      <w:r>
        <w:rPr>
          <w:rFonts w:cs="Tahoma" w:ascii="Tahoma" w:hAnsi="Tahoma"/>
          <w:color w:val="000000"/>
          <w:sz w:val="20"/>
          <w:lang w:val="sr-Latn-RS"/>
        </w:rPr>
        <w:t xml:space="preserve"> </w:t>
      </w:r>
      <w:r>
        <w:rPr>
          <w:rFonts w:cs="Tahoma" w:ascii="Tahoma" w:hAnsi="Tahoma"/>
          <w:color w:val="000000"/>
          <w:sz w:val="20"/>
        </w:rPr>
        <w:t>се</w:t>
      </w:r>
      <w:r>
        <w:rPr>
          <w:rFonts w:cs="Tahoma" w:ascii="Tahoma" w:hAnsi="Tahoma"/>
          <w:color w:val="000000"/>
          <w:sz w:val="20"/>
          <w:lang w:val="sr-Latn-RS"/>
        </w:rPr>
        <w:t xml:space="preserve"> </w:t>
      </w:r>
      <w:r>
        <w:rPr>
          <w:rFonts w:cs="Tahoma" w:ascii="Tahoma" w:hAnsi="Tahoma"/>
          <w:color w:val="000000"/>
          <w:sz w:val="20"/>
        </w:rPr>
        <w:t>баве</w:t>
      </w:r>
      <w:r>
        <w:rPr>
          <w:rFonts w:cs="Tahoma" w:ascii="Tahoma" w:hAnsi="Tahoma"/>
          <w:color w:val="000000"/>
          <w:sz w:val="20"/>
          <w:lang w:val="sr-Latn-RS"/>
        </w:rPr>
        <w:t xml:space="preserve"> </w:t>
      </w:r>
      <w:r>
        <w:rPr>
          <w:rFonts w:cs="Tahoma" w:ascii="Tahoma" w:hAnsi="Tahoma"/>
          <w:color w:val="000000"/>
          <w:sz w:val="20"/>
          <w:lang w:val="sr-RS"/>
        </w:rPr>
        <w:t>социјалном заштитом и подршком рањивим групама становништва</w:t>
      </w:r>
      <w:r>
        <w:rPr>
          <w:rFonts w:cs="Tahoma" w:ascii="Tahoma" w:hAnsi="Tahoma"/>
          <w:color w:val="000000"/>
          <w:sz w:val="20"/>
          <w:lang w:val="sr-Latn-RS"/>
        </w:rPr>
        <w:t xml:space="preserve">. </w:t>
      </w:r>
      <w:r>
        <w:rPr>
          <w:rFonts w:cs="Tahoma" w:ascii="Tahoma" w:hAnsi="Tahoma"/>
          <w:color w:val="000000"/>
          <w:sz w:val="20"/>
        </w:rPr>
        <w:t>Овако</w:t>
      </w:r>
      <w:r>
        <w:rPr>
          <w:rFonts w:cs="Tahoma" w:ascii="Tahoma" w:hAnsi="Tahoma"/>
          <w:color w:val="000000"/>
          <w:sz w:val="20"/>
          <w:lang w:val="sr-Latn-RS"/>
        </w:rPr>
        <w:t xml:space="preserve"> </w:t>
      </w:r>
      <w:r>
        <w:rPr>
          <w:rFonts w:cs="Tahoma" w:ascii="Tahoma" w:hAnsi="Tahoma"/>
          <w:color w:val="000000"/>
          <w:sz w:val="20"/>
        </w:rPr>
        <w:t>конципиран</w:t>
      </w:r>
      <w:r>
        <w:rPr>
          <w:rFonts w:cs="Tahoma" w:ascii="Tahoma" w:hAnsi="Tahoma"/>
          <w:color w:val="000000"/>
          <w:sz w:val="20"/>
          <w:lang w:val="sr-Latn-RS"/>
        </w:rPr>
        <w:t xml:space="preserve"> </w:t>
      </w:r>
      <w:r>
        <w:rPr>
          <w:rFonts w:cs="Tahoma" w:ascii="Tahoma" w:hAnsi="Tahoma"/>
          <w:color w:val="000000"/>
          <w:sz w:val="20"/>
        </w:rPr>
        <w:t>Програм</w:t>
      </w:r>
      <w:r>
        <w:rPr>
          <w:rFonts w:cs="Tahoma" w:ascii="Tahoma" w:hAnsi="Tahoma"/>
          <w:color w:val="000000"/>
          <w:sz w:val="20"/>
          <w:lang w:val="sr-Latn-RS"/>
        </w:rPr>
        <w:t xml:space="preserve"> </w:t>
      </w:r>
      <w:r>
        <w:rPr>
          <w:rFonts w:cs="Tahoma" w:ascii="Tahoma" w:hAnsi="Tahoma"/>
          <w:color w:val="000000"/>
          <w:sz w:val="20"/>
        </w:rPr>
        <w:t>требало</w:t>
      </w:r>
      <w:r>
        <w:rPr>
          <w:rFonts w:cs="Tahoma" w:ascii="Tahoma" w:hAnsi="Tahoma"/>
          <w:color w:val="000000"/>
          <w:sz w:val="20"/>
          <w:lang w:val="sr-Latn-RS"/>
        </w:rPr>
        <w:t xml:space="preserve"> </w:t>
      </w:r>
      <w:r>
        <w:rPr>
          <w:rFonts w:cs="Tahoma" w:ascii="Tahoma" w:hAnsi="Tahoma"/>
          <w:color w:val="000000"/>
          <w:sz w:val="20"/>
        </w:rPr>
        <w:t>би</w:t>
      </w:r>
      <w:r>
        <w:rPr>
          <w:rFonts w:cs="Tahoma" w:ascii="Tahoma" w:hAnsi="Tahoma"/>
          <w:color w:val="000000"/>
          <w:sz w:val="20"/>
          <w:lang w:val="sr-Latn-RS"/>
        </w:rPr>
        <w:t xml:space="preserve"> </w:t>
      </w:r>
      <w:r>
        <w:rPr>
          <w:rFonts w:cs="Tahoma" w:ascii="Tahoma" w:hAnsi="Tahoma"/>
          <w:color w:val="000000"/>
          <w:sz w:val="20"/>
        </w:rPr>
        <w:t>да</w:t>
      </w:r>
      <w:r>
        <w:rPr>
          <w:rFonts w:cs="Tahoma" w:ascii="Tahoma" w:hAnsi="Tahoma"/>
          <w:color w:val="000000"/>
          <w:sz w:val="20"/>
          <w:lang w:val="sr-Latn-RS"/>
        </w:rPr>
        <w:t xml:space="preserve"> </w:t>
      </w:r>
      <w:r>
        <w:rPr>
          <w:rFonts w:cs="Tahoma" w:ascii="Tahoma" w:hAnsi="Tahoma"/>
          <w:color w:val="000000"/>
          <w:sz w:val="20"/>
        </w:rPr>
        <w:t>осигура</w:t>
      </w:r>
      <w:r>
        <w:rPr>
          <w:rFonts w:cs="Tahoma" w:ascii="Tahoma" w:hAnsi="Tahoma"/>
          <w:color w:val="000000"/>
          <w:sz w:val="20"/>
          <w:lang w:val="sr-Latn-RS"/>
        </w:rPr>
        <w:t xml:space="preserve"> </w:t>
      </w:r>
      <w:r>
        <w:rPr>
          <w:rFonts w:cs="Tahoma" w:ascii="Tahoma" w:hAnsi="Tahoma"/>
          <w:color w:val="000000"/>
          <w:sz w:val="20"/>
        </w:rPr>
        <w:t>квалитетну</w:t>
      </w:r>
      <w:r>
        <w:rPr>
          <w:rFonts w:cs="Tahoma" w:ascii="Tahoma" w:hAnsi="Tahoma"/>
          <w:color w:val="000000"/>
          <w:sz w:val="20"/>
          <w:lang w:val="sr-Latn-RS"/>
        </w:rPr>
        <w:t xml:space="preserve"> </w:t>
      </w:r>
      <w:r>
        <w:rPr>
          <w:rFonts w:cs="Tahoma" w:ascii="Tahoma" w:hAnsi="Tahoma"/>
          <w:color w:val="000000"/>
          <w:sz w:val="20"/>
        </w:rPr>
        <w:t>имплементацију</w:t>
      </w:r>
      <w:r>
        <w:rPr>
          <w:rFonts w:cs="Tahoma" w:ascii="Tahoma" w:hAnsi="Tahoma"/>
          <w:color w:val="000000"/>
          <w:sz w:val="20"/>
          <w:lang w:val="sr-Latn-RS"/>
        </w:rPr>
        <w:t xml:space="preserve">, </w:t>
      </w:r>
      <w:r>
        <w:rPr>
          <w:rFonts w:cs="Tahoma" w:ascii="Tahoma" w:hAnsi="Tahoma"/>
          <w:color w:val="000000"/>
          <w:sz w:val="20"/>
        </w:rPr>
        <w:t>као</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да</w:t>
      </w:r>
      <w:r>
        <w:rPr>
          <w:rFonts w:cs="Tahoma" w:ascii="Tahoma" w:hAnsi="Tahoma"/>
          <w:color w:val="000000"/>
          <w:sz w:val="20"/>
          <w:lang w:val="sr-Latn-RS"/>
        </w:rPr>
        <w:t xml:space="preserve"> </w:t>
      </w:r>
      <w:r>
        <w:rPr>
          <w:rFonts w:cs="Tahoma" w:ascii="Tahoma" w:hAnsi="Tahoma"/>
          <w:color w:val="000000"/>
          <w:sz w:val="20"/>
        </w:rPr>
        <w:t>омогући</w:t>
      </w:r>
      <w:r>
        <w:rPr>
          <w:rFonts w:cs="Tahoma" w:ascii="Tahoma" w:hAnsi="Tahoma"/>
          <w:color w:val="000000"/>
          <w:sz w:val="20"/>
          <w:lang w:val="sr-Latn-RS"/>
        </w:rPr>
        <w:t xml:space="preserve"> </w:t>
      </w:r>
      <w:r>
        <w:rPr>
          <w:rFonts w:cs="Tahoma" w:ascii="Tahoma" w:hAnsi="Tahoma"/>
          <w:color w:val="000000"/>
          <w:sz w:val="20"/>
        </w:rPr>
        <w:t>општини</w:t>
      </w:r>
      <w:r>
        <w:rPr>
          <w:rFonts w:cs="Tahoma" w:ascii="Tahoma" w:hAnsi="Tahoma"/>
          <w:color w:val="000000"/>
          <w:sz w:val="20"/>
          <w:lang w:val="sr-Latn-RS"/>
        </w:rPr>
        <w:t xml:space="preserve"> </w:t>
      </w:r>
      <w:r>
        <w:rPr>
          <w:rFonts w:cs="Tahoma" w:ascii="Tahoma" w:hAnsi="Tahoma"/>
          <w:color w:val="000000"/>
          <w:sz w:val="20"/>
          <w:lang w:val="sr-RS"/>
        </w:rPr>
        <w:t>Беочин</w:t>
      </w:r>
      <w:r>
        <w:rPr>
          <w:rFonts w:cs="Tahoma" w:ascii="Tahoma" w:hAnsi="Tahoma"/>
          <w:color w:val="000000"/>
          <w:sz w:val="20"/>
          <w:lang w:val="sr-Latn-RS"/>
        </w:rPr>
        <w:t xml:space="preserve"> </w:t>
      </w:r>
      <w:r>
        <w:rPr>
          <w:rFonts w:cs="Tahoma" w:ascii="Tahoma" w:hAnsi="Tahoma"/>
          <w:color w:val="000000"/>
          <w:sz w:val="20"/>
          <w:lang w:val="sr-RS"/>
        </w:rPr>
        <w:t xml:space="preserve">адекватан </w:t>
      </w:r>
      <w:r>
        <w:rPr>
          <w:rFonts w:cs="Tahoma" w:ascii="Tahoma" w:hAnsi="Tahoma"/>
          <w:color w:val="000000"/>
          <w:sz w:val="20"/>
          <w:lang w:val="sr-Latn-RS"/>
        </w:rPr>
        <w:t xml:space="preserve">основ </w:t>
      </w:r>
      <w:r>
        <w:rPr>
          <w:rFonts w:cs="Tahoma" w:ascii="Tahoma" w:hAnsi="Tahoma"/>
          <w:color w:val="000000"/>
          <w:sz w:val="20"/>
        </w:rPr>
        <w:t>за</w:t>
      </w:r>
      <w:r>
        <w:rPr>
          <w:rFonts w:cs="Tahoma" w:ascii="Tahoma" w:hAnsi="Tahoma"/>
          <w:color w:val="000000"/>
          <w:sz w:val="20"/>
          <w:lang w:val="sr-Latn-RS"/>
        </w:rPr>
        <w:t xml:space="preserve"> </w:t>
      </w:r>
      <w:r>
        <w:rPr>
          <w:rFonts w:cs="Tahoma" w:ascii="Tahoma" w:hAnsi="Tahoma"/>
          <w:color w:val="000000"/>
          <w:sz w:val="20"/>
        </w:rPr>
        <w:t>оптималан</w:t>
      </w:r>
      <w:r>
        <w:rPr>
          <w:rFonts w:cs="Tahoma" w:ascii="Tahoma" w:hAnsi="Tahoma"/>
          <w:color w:val="000000"/>
          <w:sz w:val="20"/>
          <w:lang w:val="sr-Latn-RS"/>
        </w:rPr>
        <w:t xml:space="preserve"> </w:t>
      </w:r>
      <w:r>
        <w:rPr>
          <w:rFonts w:cs="Tahoma" w:ascii="Tahoma" w:hAnsi="Tahoma"/>
          <w:color w:val="000000"/>
          <w:sz w:val="20"/>
        </w:rPr>
        <w:t>квалитет</w:t>
      </w:r>
      <w:r>
        <w:rPr>
          <w:rFonts w:cs="Tahoma" w:ascii="Tahoma" w:hAnsi="Tahoma"/>
          <w:color w:val="000000"/>
          <w:sz w:val="20"/>
          <w:lang w:val="sr-Latn-RS"/>
        </w:rPr>
        <w:t xml:space="preserve"> </w:t>
      </w:r>
      <w:r>
        <w:rPr>
          <w:rFonts w:cs="Tahoma" w:ascii="Tahoma" w:hAnsi="Tahoma"/>
          <w:color w:val="000000"/>
          <w:sz w:val="20"/>
        </w:rPr>
        <w:t>резултата</w:t>
      </w:r>
      <w:r>
        <w:rPr>
          <w:rFonts w:cs="Tahoma" w:ascii="Tahoma" w:hAnsi="Tahoma"/>
          <w:color w:val="000000"/>
          <w:sz w:val="20"/>
          <w:lang w:val="sr-Latn-RS"/>
        </w:rPr>
        <w:t xml:space="preserve"> </w:t>
      </w:r>
      <w:r>
        <w:rPr>
          <w:rFonts w:cs="Tahoma" w:ascii="Tahoma" w:hAnsi="Tahoma"/>
          <w:color w:val="000000"/>
          <w:sz w:val="20"/>
        </w:rPr>
        <w:t>који</w:t>
      </w:r>
      <w:r>
        <w:rPr>
          <w:rFonts w:cs="Tahoma" w:ascii="Tahoma" w:hAnsi="Tahoma"/>
          <w:color w:val="000000"/>
          <w:sz w:val="20"/>
          <w:lang w:val="sr-Latn-RS"/>
        </w:rPr>
        <w:t xml:space="preserve"> </w:t>
      </w:r>
      <w:r>
        <w:rPr>
          <w:rFonts w:cs="Tahoma" w:ascii="Tahoma" w:hAnsi="Tahoma"/>
          <w:color w:val="000000"/>
          <w:sz w:val="20"/>
        </w:rPr>
        <w:t>се</w:t>
      </w:r>
      <w:r>
        <w:rPr>
          <w:rFonts w:cs="Tahoma" w:ascii="Tahoma" w:hAnsi="Tahoma"/>
          <w:color w:val="000000"/>
          <w:sz w:val="20"/>
          <w:lang w:val="sr-Latn-RS"/>
        </w:rPr>
        <w:t xml:space="preserve"> </w:t>
      </w:r>
      <w:r>
        <w:rPr>
          <w:rFonts w:cs="Tahoma" w:ascii="Tahoma" w:hAnsi="Tahoma"/>
          <w:color w:val="000000"/>
          <w:sz w:val="20"/>
        </w:rPr>
        <w:t>очекују</w:t>
      </w:r>
      <w:r>
        <w:rPr>
          <w:rFonts w:cs="Tahoma" w:ascii="Tahoma" w:hAnsi="Tahoma"/>
          <w:color w:val="000000"/>
          <w:sz w:val="20"/>
          <w:lang w:val="sr-Latn-RS"/>
        </w:rPr>
        <w:t xml:space="preserve"> </w:t>
      </w:r>
      <w:r>
        <w:rPr>
          <w:rFonts w:cs="Tahoma" w:ascii="Tahoma" w:hAnsi="Tahoma"/>
          <w:color w:val="000000"/>
          <w:sz w:val="20"/>
        </w:rPr>
        <w:t>реализацијом</w:t>
      </w:r>
      <w:r>
        <w:rPr>
          <w:rFonts w:cs="Tahoma" w:ascii="Tahoma" w:hAnsi="Tahoma"/>
          <w:color w:val="000000"/>
          <w:sz w:val="20"/>
          <w:lang w:val="sr-Latn-RS"/>
        </w:rPr>
        <w:t xml:space="preserve"> </w:t>
      </w:r>
      <w:r>
        <w:rPr>
          <w:rFonts w:cs="Tahoma" w:ascii="Tahoma" w:hAnsi="Tahoma"/>
          <w:color w:val="000000"/>
          <w:sz w:val="20"/>
        </w:rPr>
        <w:t>планираних</w:t>
      </w:r>
      <w:r>
        <w:rPr>
          <w:rFonts w:cs="Tahoma" w:ascii="Tahoma" w:hAnsi="Tahoma"/>
          <w:color w:val="000000"/>
          <w:sz w:val="20"/>
          <w:lang w:val="sr-Latn-RS"/>
        </w:rPr>
        <w:t xml:space="preserve"> </w:t>
      </w:r>
      <w:r>
        <w:rPr>
          <w:rFonts w:cs="Tahoma" w:ascii="Tahoma" w:hAnsi="Tahoma"/>
          <w:color w:val="000000"/>
          <w:sz w:val="20"/>
        </w:rPr>
        <w:t>активности</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мера</w:t>
      </w:r>
      <w:r>
        <w:rPr>
          <w:rFonts w:cs="Tahoma" w:ascii="Tahoma" w:hAnsi="Tahoma"/>
          <w:color w:val="000000"/>
          <w:sz w:val="20"/>
          <w:lang w:val="sr-Latn-RS"/>
        </w:rPr>
        <w:t xml:space="preserve">, </w:t>
      </w:r>
      <w:r>
        <w:rPr>
          <w:rFonts w:cs="Tahoma" w:ascii="Tahoma" w:hAnsi="Tahoma"/>
          <w:color w:val="000000"/>
          <w:sz w:val="20"/>
        </w:rPr>
        <w:t>на</w:t>
      </w:r>
      <w:r>
        <w:rPr>
          <w:rFonts w:cs="Tahoma" w:ascii="Tahoma" w:hAnsi="Tahoma"/>
          <w:color w:val="000000"/>
          <w:sz w:val="20"/>
          <w:lang w:val="sr-Latn-RS"/>
        </w:rPr>
        <w:t xml:space="preserve"> </w:t>
      </w:r>
      <w:r>
        <w:rPr>
          <w:rFonts w:cs="Tahoma" w:ascii="Tahoma" w:hAnsi="Tahoma"/>
          <w:color w:val="000000"/>
          <w:sz w:val="20"/>
        </w:rPr>
        <w:t>којима</w:t>
      </w:r>
      <w:r>
        <w:rPr>
          <w:rFonts w:cs="Tahoma" w:ascii="Tahoma" w:hAnsi="Tahoma"/>
          <w:color w:val="000000"/>
          <w:sz w:val="20"/>
          <w:lang w:val="sr-Latn-RS"/>
        </w:rPr>
        <w:t xml:space="preserve"> </w:t>
      </w:r>
      <w:r>
        <w:rPr>
          <w:rFonts w:cs="Tahoma" w:ascii="Tahoma" w:hAnsi="Tahoma"/>
          <w:color w:val="000000"/>
          <w:sz w:val="20"/>
        </w:rPr>
        <w:t>ће</w:t>
      </w:r>
      <w:r>
        <w:rPr>
          <w:rFonts w:cs="Tahoma" w:ascii="Tahoma" w:hAnsi="Tahoma"/>
          <w:color w:val="000000"/>
          <w:sz w:val="20"/>
          <w:lang w:val="sr-Latn-RS"/>
        </w:rPr>
        <w:t xml:space="preserve"> </w:t>
      </w:r>
      <w:r>
        <w:rPr>
          <w:rFonts w:cs="Tahoma" w:ascii="Tahoma" w:hAnsi="Tahoma"/>
          <w:color w:val="000000"/>
          <w:sz w:val="20"/>
        </w:rPr>
        <w:t>све</w:t>
      </w:r>
      <w:r>
        <w:rPr>
          <w:rFonts w:cs="Tahoma" w:ascii="Tahoma" w:hAnsi="Tahoma"/>
          <w:color w:val="000000"/>
          <w:sz w:val="20"/>
          <w:lang w:val="sr-Latn-RS"/>
        </w:rPr>
        <w:t xml:space="preserve"> </w:t>
      </w:r>
      <w:r>
        <w:rPr>
          <w:rFonts w:cs="Tahoma" w:ascii="Tahoma" w:hAnsi="Tahoma"/>
          <w:color w:val="000000"/>
          <w:sz w:val="20"/>
        </w:rPr>
        <w:t>заинтересоване</w:t>
      </w:r>
      <w:r>
        <w:rPr>
          <w:rFonts w:cs="Tahoma" w:ascii="Tahoma" w:hAnsi="Tahoma"/>
          <w:color w:val="000000"/>
          <w:sz w:val="20"/>
          <w:lang w:val="sr-Latn-RS"/>
        </w:rPr>
        <w:t xml:space="preserve"> </w:t>
      </w:r>
      <w:r>
        <w:rPr>
          <w:rFonts w:cs="Tahoma" w:ascii="Tahoma" w:hAnsi="Tahoma"/>
          <w:color w:val="000000"/>
          <w:sz w:val="20"/>
        </w:rPr>
        <w:t>стране</w:t>
      </w:r>
      <w:r>
        <w:rPr>
          <w:rFonts w:cs="Tahoma" w:ascii="Tahoma" w:hAnsi="Tahoma"/>
          <w:color w:val="000000"/>
          <w:sz w:val="20"/>
          <w:lang w:val="sr-Latn-RS"/>
        </w:rPr>
        <w:t xml:space="preserve"> </w:t>
      </w:r>
      <w:r>
        <w:rPr>
          <w:rFonts w:cs="Tahoma" w:ascii="Tahoma" w:hAnsi="Tahoma"/>
          <w:color w:val="000000"/>
          <w:sz w:val="20"/>
        </w:rPr>
        <w:t>и</w:t>
      </w:r>
      <w:r>
        <w:rPr>
          <w:rFonts w:cs="Tahoma" w:ascii="Tahoma" w:hAnsi="Tahoma"/>
          <w:color w:val="000000"/>
          <w:sz w:val="20"/>
          <w:lang w:val="sr-Latn-RS"/>
        </w:rPr>
        <w:t xml:space="preserve"> </w:t>
      </w:r>
      <w:r>
        <w:rPr>
          <w:rFonts w:cs="Tahoma" w:ascii="Tahoma" w:hAnsi="Tahoma"/>
          <w:color w:val="000000"/>
          <w:sz w:val="20"/>
        </w:rPr>
        <w:t>релевантни</w:t>
      </w:r>
      <w:r>
        <w:rPr>
          <w:rFonts w:cs="Tahoma" w:ascii="Tahoma" w:hAnsi="Tahoma"/>
          <w:color w:val="000000"/>
          <w:sz w:val="20"/>
          <w:lang w:val="sr-Latn-RS"/>
        </w:rPr>
        <w:t xml:space="preserve"> </w:t>
      </w:r>
      <w:r>
        <w:rPr>
          <w:rFonts w:cs="Tahoma" w:ascii="Tahoma" w:hAnsi="Tahoma"/>
          <w:color w:val="000000"/>
          <w:sz w:val="20"/>
        </w:rPr>
        <w:t>партнери</w:t>
      </w:r>
      <w:r>
        <w:rPr>
          <w:rFonts w:cs="Tahoma" w:ascii="Tahoma" w:hAnsi="Tahoma"/>
          <w:color w:val="000000"/>
          <w:sz w:val="20"/>
          <w:lang w:val="sr-Latn-RS"/>
        </w:rPr>
        <w:t xml:space="preserve"> </w:t>
      </w:r>
      <w:r>
        <w:rPr>
          <w:rFonts w:cs="Tahoma" w:ascii="Tahoma" w:hAnsi="Tahoma"/>
          <w:color w:val="000000"/>
          <w:sz w:val="20"/>
        </w:rPr>
        <w:t>радити</w:t>
      </w:r>
      <w:r>
        <w:rPr>
          <w:rFonts w:cs="Tahoma" w:ascii="Tahoma" w:hAnsi="Tahoma"/>
          <w:color w:val="000000"/>
          <w:sz w:val="20"/>
          <w:lang w:val="sr-Latn-RS"/>
        </w:rPr>
        <w:t xml:space="preserve"> </w:t>
      </w:r>
      <w:r>
        <w:rPr>
          <w:rFonts w:cs="Tahoma" w:ascii="Tahoma" w:hAnsi="Tahoma"/>
          <w:color w:val="000000"/>
          <w:sz w:val="20"/>
        </w:rPr>
        <w:t>у</w:t>
      </w:r>
      <w:r>
        <w:rPr>
          <w:rFonts w:cs="Tahoma" w:ascii="Tahoma" w:hAnsi="Tahoma"/>
          <w:color w:val="000000"/>
          <w:sz w:val="20"/>
          <w:lang w:val="sr-Latn-RS"/>
        </w:rPr>
        <w:t xml:space="preserve"> </w:t>
      </w:r>
      <w:r>
        <w:rPr>
          <w:rFonts w:cs="Tahoma" w:ascii="Tahoma" w:hAnsi="Tahoma"/>
          <w:color w:val="000000"/>
          <w:sz w:val="20"/>
        </w:rPr>
        <w:t>континуитету</w:t>
      </w:r>
      <w:r>
        <w:rPr>
          <w:rFonts w:cs="Tahoma" w:ascii="Tahoma" w:hAnsi="Tahoma"/>
          <w:color w:val="000000"/>
          <w:sz w:val="20"/>
          <w:lang w:val="sr-Latn-RS"/>
        </w:rPr>
        <w:t xml:space="preserve"> </w:t>
      </w:r>
      <w:r>
        <w:rPr>
          <w:rFonts w:cs="Tahoma" w:ascii="Tahoma" w:hAnsi="Tahoma"/>
          <w:color w:val="000000"/>
          <w:sz w:val="20"/>
        </w:rPr>
        <w:t>у</w:t>
      </w:r>
      <w:r>
        <w:rPr>
          <w:rFonts w:cs="Tahoma" w:ascii="Tahoma" w:hAnsi="Tahoma"/>
          <w:color w:val="000000"/>
          <w:sz w:val="20"/>
          <w:lang w:val="sr-Latn-RS"/>
        </w:rPr>
        <w:t xml:space="preserve"> </w:t>
      </w:r>
      <w:r>
        <w:rPr>
          <w:rFonts w:cs="Tahoma" w:ascii="Tahoma" w:hAnsi="Tahoma"/>
          <w:color w:val="000000"/>
          <w:sz w:val="20"/>
        </w:rPr>
        <w:t>наредном</w:t>
      </w:r>
      <w:r>
        <w:rPr>
          <w:rFonts w:cs="Tahoma" w:ascii="Tahoma" w:hAnsi="Tahoma"/>
          <w:color w:val="000000"/>
          <w:sz w:val="20"/>
          <w:lang w:val="sr-Latn-RS"/>
        </w:rPr>
        <w:t xml:space="preserve"> </w:t>
      </w:r>
      <w:r>
        <w:rPr>
          <w:rFonts w:cs="Tahoma" w:ascii="Tahoma" w:hAnsi="Tahoma"/>
          <w:color w:val="000000"/>
          <w:sz w:val="20"/>
        </w:rPr>
        <w:t>периоду</w:t>
      </w:r>
      <w:r>
        <w:rPr>
          <w:rFonts w:cs="Tahoma" w:ascii="Tahoma" w:hAnsi="Tahoma"/>
          <w:color w:val="000000"/>
          <w:sz w:val="20"/>
          <w:lang w:val="sr-Latn-RS"/>
        </w:rPr>
        <w:t xml:space="preserve">. </w:t>
      </w:r>
    </w:p>
    <w:p>
      <w:pPr>
        <w:pStyle w:val="Normal"/>
        <w:spacing w:lineRule="auto" w:line="240"/>
        <w:jc w:val="both"/>
        <w:rPr>
          <w:rFonts w:ascii="Tahoma" w:hAnsi="Tahoma" w:cs="Tahoma"/>
          <w:sz w:val="20"/>
          <w:lang w:val="sr-Latn-RS"/>
        </w:rPr>
      </w:pPr>
      <w:r>
        <w:rPr>
          <w:rFonts w:cs="Tahoma" w:ascii="Tahoma" w:hAnsi="Tahoma"/>
          <w:color w:val="000000"/>
          <w:sz w:val="20"/>
        </w:rPr>
        <w:t>Израда</w:t>
      </w:r>
      <w:r>
        <w:rPr>
          <w:rFonts w:cs="Tahoma" w:ascii="Tahoma" w:hAnsi="Tahoma"/>
          <w:color w:val="000000"/>
          <w:sz w:val="20"/>
          <w:lang w:val="sr-Latn-RS"/>
        </w:rPr>
        <w:t xml:space="preserve"> </w:t>
      </w:r>
      <w:r>
        <w:rPr>
          <w:rFonts w:cs="Tahoma" w:ascii="Tahoma" w:hAnsi="Tahoma"/>
          <w:color w:val="000000"/>
          <w:sz w:val="20"/>
        </w:rPr>
        <w:t>овог</w:t>
      </w:r>
      <w:r>
        <w:rPr>
          <w:rFonts w:cs="Tahoma" w:ascii="Tahoma" w:hAnsi="Tahoma"/>
          <w:color w:val="000000"/>
          <w:sz w:val="20"/>
          <w:lang w:val="sr-Latn-RS"/>
        </w:rPr>
        <w:t xml:space="preserve"> </w:t>
      </w:r>
      <w:r>
        <w:rPr>
          <w:rFonts w:cs="Tahoma" w:ascii="Tahoma" w:hAnsi="Tahoma"/>
          <w:color w:val="000000"/>
          <w:sz w:val="20"/>
        </w:rPr>
        <w:t>Програма</w:t>
      </w:r>
      <w:r>
        <w:rPr>
          <w:rFonts w:cs="Tahoma" w:ascii="Tahoma" w:hAnsi="Tahoma"/>
          <w:color w:val="000000"/>
          <w:sz w:val="20"/>
          <w:lang w:val="sr-Latn-RS"/>
        </w:rPr>
        <w:t xml:space="preserve"> </w:t>
      </w:r>
      <w:r>
        <w:rPr>
          <w:rFonts w:cs="Tahoma" w:ascii="Tahoma" w:hAnsi="Tahoma"/>
          <w:color w:val="000000"/>
          <w:sz w:val="20"/>
        </w:rPr>
        <w:t>реализована</w:t>
      </w:r>
      <w:r>
        <w:rPr>
          <w:rFonts w:cs="Tahoma" w:ascii="Tahoma" w:hAnsi="Tahoma"/>
          <w:color w:val="000000"/>
          <w:sz w:val="20"/>
          <w:lang w:val="sr-Latn-RS"/>
        </w:rPr>
        <w:t xml:space="preserve"> </w:t>
      </w:r>
      <w:r>
        <w:rPr>
          <w:rFonts w:cs="Tahoma" w:ascii="Tahoma" w:hAnsi="Tahoma"/>
          <w:color w:val="000000"/>
          <w:sz w:val="20"/>
        </w:rPr>
        <w:t>је</w:t>
      </w:r>
      <w:r>
        <w:rPr>
          <w:rFonts w:cs="Tahoma" w:ascii="Tahoma" w:hAnsi="Tahoma"/>
          <w:color w:val="000000"/>
          <w:sz w:val="20"/>
          <w:lang w:val="sr-Latn-RS"/>
        </w:rPr>
        <w:t xml:space="preserve"> </w:t>
      </w:r>
      <w:r>
        <w:rPr>
          <w:rFonts w:cs="Tahoma" w:ascii="Tahoma" w:hAnsi="Tahoma"/>
          <w:color w:val="000000"/>
          <w:sz w:val="20"/>
        </w:rPr>
        <w:t>у</w:t>
      </w:r>
      <w:r>
        <w:rPr>
          <w:rFonts w:cs="Tahoma" w:ascii="Tahoma" w:hAnsi="Tahoma"/>
          <w:color w:val="000000"/>
          <w:sz w:val="20"/>
          <w:lang w:val="sr-RS"/>
        </w:rPr>
        <w:t xml:space="preserve">з техничку подршку у оквиру </w:t>
      </w:r>
      <w:r>
        <w:rPr>
          <w:rFonts w:cs="Tahoma" w:ascii="Tahoma" w:hAnsi="Tahoma"/>
          <w:color w:val="000000"/>
          <w:sz w:val="20"/>
        </w:rPr>
        <w:t>пројекта</w:t>
      </w:r>
      <w:r>
        <w:rPr>
          <w:rFonts w:cs="Tahoma" w:ascii="Tahoma" w:hAnsi="Tahoma"/>
          <w:color w:val="000000"/>
          <w:sz w:val="20"/>
          <w:lang w:val="sr-Latn-RS"/>
        </w:rPr>
        <w:t xml:space="preserve"> </w:t>
      </w:r>
      <w:hyperlink r:id="rId4">
        <w:r>
          <w:rPr>
            <w:rStyle w:val="InternetLink"/>
            <w:rFonts w:cs="Tahoma" w:ascii="Tahoma" w:hAnsi="Tahoma"/>
            <w:sz w:val="20"/>
            <w:lang w:val="sr-RS"/>
          </w:rPr>
          <w:t>„Подршка одрживим услугама социјалне заштите у заједници и политикама укључивања на локалном нивоу“</w:t>
        </w:r>
      </w:hyperlink>
      <w:r>
        <w:rPr>
          <w:rFonts w:cs="Tahoma" w:ascii="Tahoma" w:hAnsi="Tahoma"/>
          <w:sz w:val="20"/>
          <w:lang w:val="sr-RS"/>
        </w:rPr>
        <w:t>, који финансира Европска унија у оквиру програма ИПА 2020, укупне вредности 6,5 милиона евра. Министарство за рад, запошљавање, борачка и социјална питања надлежно је за реализацију пројекта, уговорно тело је Министарство финансија – Сектор за уговарање и финансирање програма из средстава Европске уније, док је Стална конференција градова и општина – Савез градова и општина Србије (СКГО) задужена за имплементацију пројекта.</w:t>
      </w:r>
      <w:r>
        <w:rPr>
          <w:rFonts w:cs="Tahoma" w:ascii="Tahoma" w:hAnsi="Tahoma"/>
          <w:sz w:val="20"/>
          <w:lang w:val="sr-Latn-RS"/>
        </w:rPr>
        <w:t xml:space="preserve"> </w:t>
      </w:r>
    </w:p>
    <w:p>
      <w:pPr>
        <w:pStyle w:val="Normal"/>
        <w:spacing w:lineRule="auto" w:line="240" w:before="0" w:after="120"/>
        <w:jc w:val="both"/>
        <w:rPr>
          <w:rFonts w:ascii="Tahoma" w:hAnsi="Tahoma" w:cs="Tahoma"/>
          <w:sz w:val="20"/>
          <w:lang w:val="sr-RS"/>
        </w:rPr>
      </w:pPr>
      <w:r>
        <w:rPr>
          <w:rFonts w:cs="Tahoma" w:ascii="Tahoma" w:hAnsi="Tahoma"/>
          <w:sz w:val="20"/>
          <w:lang w:val="sr-RS"/>
        </w:rPr>
        <w:t>Општина Беочин је у августу 2023. године потписала споразум са СКГО који се односи се на сарадњу у спровођењу пакета подршке Општини Беочин за унапређење социјалне заштите.  У складу  са овим</w:t>
      </w:r>
      <w:r>
        <w:rPr>
          <w:rFonts w:cs="Tahoma" w:ascii="Tahoma" w:hAnsi="Tahoma"/>
          <w:sz w:val="20"/>
          <w:lang w:val="sr-Latn-RS"/>
        </w:rPr>
        <w:t xml:space="preserve"> </w:t>
      </w:r>
      <w:r>
        <w:rPr>
          <w:rFonts w:cs="Tahoma" w:ascii="Tahoma" w:hAnsi="Tahoma"/>
          <w:sz w:val="20"/>
          <w:lang w:val="sr-RS"/>
        </w:rPr>
        <w:t>Споразумом</w:t>
      </w:r>
      <w:r>
        <w:rPr>
          <w:rFonts w:cs="Tahoma" w:ascii="Tahoma" w:hAnsi="Tahoma"/>
          <w:sz w:val="20"/>
          <w:lang w:val="sr-Latn-RS"/>
        </w:rPr>
        <w:t>,</w:t>
      </w:r>
      <w:r>
        <w:rPr>
          <w:rFonts w:cs="Tahoma" w:ascii="Tahoma" w:hAnsi="Tahoma"/>
          <w:sz w:val="20"/>
          <w:lang w:val="sr-RS"/>
        </w:rPr>
        <w:t xml:space="preserve"> СКГО је општини Беочин </w:t>
      </w:r>
      <w:bookmarkStart w:id="3" w:name="_Hlk142387866"/>
      <w:r>
        <w:rPr>
          <w:rFonts w:cs="Tahoma" w:ascii="Tahoma" w:hAnsi="Tahoma"/>
          <w:sz w:val="20"/>
          <w:lang w:val="sr-RS"/>
        </w:rPr>
        <w:t xml:space="preserve">обезбедила стручно-техничку подршку у успостављању/унапређењу локалних планских, правних, финансијских и институционалних механизама за планирање и функционисање система социјалне заштите и то у: изради анализе стања у ЈЛС у области социјалне заштите, примени методологије за процену потреба корисника/потенцијалних корисника и идентификацију ресурса пружалаца услуга на локалном нивоу, изради локалног планског документа у области социјалне заштите, изради/ревизији локалних нормативних аката, унапређењу система праћења (мониторинга), вредновања (евалуације) и извештавања о ефектима локалне политике у области социјалне заштите, изради дела програмског буџета и плана (јавних) набавки услуга социјалне заштите као и у припреми предлога пројекта за унапређење система социјалне заштите и успостављању/развоју одабраних услуга социјалне заштите. </w:t>
      </w:r>
      <w:bookmarkEnd w:id="3"/>
    </w:p>
    <w:p>
      <w:pPr>
        <w:pStyle w:val="ListParagraph"/>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120" w:after="120"/>
        <w:ind w:start="0" w:hanging="0"/>
        <w:contextualSpacing/>
        <w:jc w:val="both"/>
        <w:rPr>
          <w:rFonts w:ascii="Tahoma" w:hAnsi="Tahoma" w:eastAsia="Times New Roman" w:cs="Tahoma"/>
          <w:color w:val="000000"/>
          <w:sz w:val="20"/>
          <w:szCs w:val="20"/>
          <w:lang w:val="sr-RS" w:eastAsia="it-IT"/>
        </w:rPr>
      </w:pPr>
      <w:r>
        <w:rPr>
          <w:rFonts w:cs="Tahoma" w:ascii="Tahoma" w:hAnsi="Tahoma"/>
          <w:sz w:val="20"/>
          <w:szCs w:val="20"/>
          <w:lang w:val="sr-RS"/>
        </w:rPr>
        <w:t>Кључни проблеми у планирању социјалне заштите на локалном нивоу јесу недостатак одрживих механизама за мапирање потреба корисника и потенцијалних корисника услуга социјалне заштите и за мониторинг и евалуацију стратешких приоритета на локалном нивоу, недовољна предвидљивост трендова у развоју система социјалне заштите, недовољно учешће корисника и недовољни људски ресурси у локалним самоуправама за спровођење процеса планирања социјалне заштите на холистички начин што негативно утиче на одрживост локалних услуга или доводи до недоследности докумената на локалном нивоу. Према садашњем законском оквиру, локалне власти могу обезбедити услуге преко центара за социјални рад, центара за развој локалних услуга, или преко лиценцираних пружалаца услуга спровођењем процеса јавних набавки</w:t>
      </w:r>
      <w:r>
        <w:rPr>
          <w:rStyle w:val="FootnoteAnchor"/>
          <w:rFonts w:cs="Tahoma" w:ascii="Tahoma" w:hAnsi="Tahoma"/>
          <w:sz w:val="20"/>
          <w:szCs w:val="20"/>
          <w:vertAlign w:val="superscript"/>
          <w:lang w:val="sr-RS"/>
        </w:rPr>
        <w:footnoteReference w:id="6"/>
      </w:r>
      <w:r>
        <w:rPr>
          <w:rFonts w:cs="Tahoma" w:ascii="Tahoma" w:hAnsi="Tahoma"/>
          <w:sz w:val="20"/>
          <w:szCs w:val="20"/>
          <w:lang w:val="sr-RS"/>
        </w:rPr>
        <w:t>. Иако је развој услуга у заједници био у фокусу реформе система социјалне заштите, мрежа ових услуга је и даље слабо развијена, услуге као такве нису подједнако доступне и обухват корисника је низак.</w:t>
      </w:r>
      <w:r>
        <w:rPr>
          <w:rFonts w:cs="Tahoma" w:ascii="Tahoma" w:hAnsi="Tahoma"/>
          <w:b/>
          <w:sz w:val="20"/>
          <w:szCs w:val="20"/>
          <w:lang w:val="sr-RS"/>
        </w:rPr>
        <w:t xml:space="preserve"> </w:t>
      </w:r>
      <w:r>
        <w:rPr>
          <w:rFonts w:cs="Tahoma" w:ascii="Tahoma" w:hAnsi="Tahoma"/>
          <w:sz w:val="20"/>
          <w:szCs w:val="20"/>
          <w:lang w:val="sr-RS"/>
        </w:rPr>
        <w:t>Такође, значајан број успостављених услуга није доступан током целе године у свим ЈЛС.</w:t>
      </w:r>
      <w:r>
        <w:rPr>
          <w:rFonts w:cs="Tahoma" w:ascii="Tahoma" w:hAnsi="Tahoma"/>
          <w:color w:val="C00000"/>
          <w:sz w:val="20"/>
          <w:szCs w:val="20"/>
          <w:lang w:val="sr-RS"/>
        </w:rPr>
        <w:t xml:space="preserve"> </w:t>
      </w:r>
      <w:r>
        <w:rPr>
          <w:rFonts w:cs="Tahoma" w:ascii="Tahoma" w:hAnsi="Tahoma"/>
          <w:sz w:val="20"/>
          <w:szCs w:val="20"/>
          <w:lang w:val="sr-RS"/>
        </w:rPr>
        <w:t>Важан фактор у пружању локалних услуга је и систем финансирања. Разлике у издацима за услуге социјалне заштите по глави становника између ЈЛС не могу се објаснити само разликама између ЈЛС као што су број становника, територија, ниво развијености, величина буџета итд. Веома је важно имати у виду да се велики број локалних самоуправа ослања на наменске трансфере као извор финансирања услуга. Практично искуство и спроведене анализе указују да постоји значајан простор за унапређење услуга</w:t>
      </w:r>
      <w:r>
        <w:rPr>
          <w:rStyle w:val="FootnoteAnchor"/>
          <w:rFonts w:cs="Tahoma" w:ascii="Tahoma" w:hAnsi="Tahoma"/>
          <w:sz w:val="20"/>
          <w:szCs w:val="20"/>
          <w:vertAlign w:val="superscript"/>
          <w:lang w:val="sr-RS"/>
        </w:rPr>
        <w:footnoteReference w:id="7"/>
      </w:r>
      <w:r>
        <w:rPr>
          <w:rFonts w:cs="Tahoma" w:ascii="Tahoma" w:hAnsi="Tahoma"/>
          <w:sz w:val="20"/>
          <w:szCs w:val="20"/>
          <w:lang w:val="sr-RS"/>
        </w:rPr>
        <w:t xml:space="preserve"> у погледу броја услуга које се пружају, распрострањености, квалитета, доступности, обухвата корисника, пружаоца услуга, начина финансирања, мониторинга и извештавања. Важан аспект развоја социјалне заштите, те самим тим и унапређења јавног интереса, а уједно и један од највећих изазова, јесте активно укључивање, односно развијање интегративних услуга и успостављање иновативних услуга на локалном нивоу, уз</w:t>
      </w:r>
      <w:r>
        <w:rPr>
          <w:rFonts w:cs="Tahoma" w:ascii="Tahoma" w:hAnsi="Tahoma"/>
          <w:b/>
          <w:sz w:val="20"/>
          <w:szCs w:val="20"/>
          <w:lang w:val="sr-RS"/>
        </w:rPr>
        <w:t xml:space="preserve"> </w:t>
      </w:r>
      <w:r>
        <w:rPr>
          <w:rFonts w:cs="Tahoma" w:ascii="Tahoma" w:hAnsi="Tahoma"/>
          <w:sz w:val="20"/>
          <w:szCs w:val="20"/>
          <w:lang w:val="sr-RS"/>
        </w:rPr>
        <w:t xml:space="preserve">развој међуопштинске сарадње.  Овај приступ захтева добро познавање потреба корисника услуга, али и шире заједнице. Због тога је важно унапредити процес доношења одлука и осигурати пуну укљученост локалне заједнице, посебно група и заједница заинтересованих за развој локалних услуга.  Имајући у виду претходно, у даљем развоју и реформама система социјалне заштите посебну пажњу треба посветити развијању постојећих и успостављању нових услуга социјалне заштите на локалном нивоу, које подржавају процес деинституционализације и које одговарају потребама осетљивих друштвених група. Ово представља најефикаснији начин да се спречи потреба за институционалном заштитом, пружи подршка кориснику у мање рестриктивном окружењу, односно у локалној заједници, и допринесе њиховом социјалном укључивању. </w:t>
      </w:r>
    </w:p>
    <w:p>
      <w:pPr>
        <w:pStyle w:val="Normal"/>
        <w:spacing w:lineRule="auto" w:line="240"/>
        <w:jc w:val="both"/>
        <w:rPr>
          <w:rFonts w:ascii="Tahoma" w:hAnsi="Tahoma" w:eastAsia="Times New Roman" w:cs="Tahoma"/>
          <w:sz w:val="20"/>
          <w:szCs w:val="20"/>
          <w:lang w:val="sr-RS" w:eastAsia="en-GB"/>
        </w:rPr>
      </w:pPr>
      <w:r>
        <w:rPr>
          <w:rFonts w:eastAsia="Times New Roman" w:cs="Tahoma" w:ascii="Tahoma" w:hAnsi="Tahoma"/>
          <w:sz w:val="20"/>
          <w:szCs w:val="20"/>
          <w:lang w:val="sr-RS" w:eastAsia="en-GB"/>
        </w:rPr>
        <w:t xml:space="preserve">Имајући у виду претходно наведено, Општина Беочин </w:t>
      </w:r>
      <w:r>
        <w:rPr>
          <w:rFonts w:cs="Tahoma" w:ascii="Tahoma" w:hAnsi="Tahoma"/>
          <w:sz w:val="20"/>
          <w:lang w:val="sr-RS"/>
        </w:rPr>
        <w:t xml:space="preserve">је приступила партиципативном и на подацима заснованом процесу израде документа јавне политике у области  социјалне заштите, коме је претходило неколико корака. У првој половини 2024. године, уз техничку подршку СКГО израђена је Анализа стања у оквиру које је сагледано тренутно стање у области социјалне заштите у Општини Беочин кроз анализу планског, нормативног, институционалног и финансијског оквира и дате су препоруке за спровођење свих активности у оквиру пакета подршке за унапређење социјалне заштите, узимајући у обзир локални контекст и специфичности и потребе сваке од подржаних локалних самоуправа. Поред тога, спроведено је </w:t>
      </w:r>
      <w:r>
        <w:rPr>
          <w:rFonts w:eastAsia="Times New Roman" w:cs="Tahoma" w:ascii="Tahoma" w:hAnsi="Tahoma"/>
          <w:sz w:val="20"/>
          <w:szCs w:val="20"/>
          <w:lang w:val="sr-RS" w:eastAsia="en-GB"/>
        </w:rPr>
        <w:t xml:space="preserve">мапирање потреба корисника/потенцијалних корисника права и услуга социјалне заштите и идентификација ресурса пружалаца услуга на локалном нивоу, како би се </w:t>
      </w:r>
      <w:r>
        <w:rPr>
          <w:rFonts w:eastAsia="Times New Roman" w:cs="Tahoma" w:ascii="Tahoma" w:hAnsi="Tahoma"/>
          <w:sz w:val="20"/>
          <w:szCs w:val="20"/>
          <w:lang w:val="sr-RS"/>
        </w:rPr>
        <w:t xml:space="preserve">унапредио процес  </w:t>
      </w:r>
      <w:r>
        <w:rPr>
          <w:rFonts w:cs="Tahoma" w:ascii="Tahoma" w:hAnsi="Tahoma"/>
          <w:sz w:val="20"/>
          <w:szCs w:val="20"/>
          <w:lang w:val="sr-RS"/>
        </w:rPr>
        <w:t>планирања и  обезбеђивања права и  услуга у области социјалне заштите на локалном нивоу заснованом на сагледавању реалних потреба и расположивих ресурса на локалном нивоу</w:t>
      </w:r>
      <w:r>
        <w:rPr>
          <w:rFonts w:eastAsia="Times New Roman" w:cs="Tahoma" w:ascii="Tahoma" w:hAnsi="Tahoma"/>
          <w:sz w:val="20"/>
          <w:szCs w:val="20"/>
          <w:lang w:val="sr-RS"/>
        </w:rPr>
        <w:t>.</w:t>
      </w:r>
    </w:p>
    <w:p>
      <w:pPr>
        <w:pStyle w:val="Normal"/>
        <w:spacing w:lineRule="auto" w:line="240" w:before="0" w:after="120"/>
        <w:jc w:val="both"/>
        <w:rPr>
          <w:rFonts w:ascii="Tahoma" w:hAnsi="Tahoma" w:cs="Tahoma"/>
          <w:iCs/>
          <w:sz w:val="20"/>
          <w:lang w:val="sr-RS"/>
        </w:rPr>
      </w:pPr>
      <w:r>
        <w:rPr>
          <w:rFonts w:cs="Tahoma" w:ascii="Tahoma" w:hAnsi="Tahoma"/>
          <w:iCs/>
          <w:sz w:val="20"/>
          <w:lang w:val="sr-RS"/>
        </w:rPr>
        <w:t xml:space="preserve">С обзиром на то да је анализом планског и нормативног оквира у области социјалне заштите у општини Беочин констатовано да су потребне измене и усклађивања како са Законом о социјалној заштити, Законом о планском систему и Законом о локалној самоуправи, као и да су мапирањем потреба дубље сагледане потребе и ресурси у заједници, општина Беочин је на седници Скупштине општине одржаној </w:t>
      </w:r>
      <w:r>
        <w:rPr>
          <w:rFonts w:cs="Tahoma" w:ascii="Tahoma" w:hAnsi="Tahoma"/>
          <w:iCs/>
          <w:sz w:val="20"/>
          <w:lang w:val="sr-Latn-RS"/>
        </w:rPr>
        <w:t>27.05.</w:t>
      </w:r>
      <w:r>
        <w:rPr>
          <w:rFonts w:cs="Tahoma" w:ascii="Tahoma" w:hAnsi="Tahoma"/>
          <w:iCs/>
          <w:sz w:val="20"/>
          <w:lang w:val="sr-RS"/>
        </w:rPr>
        <w:t>2024. године донела Одлуку о приступању изради Програма унапређења социјалне заштите општине Беочин за период од 2025. до  2030</w:t>
      </w:r>
      <w:r>
        <w:rPr>
          <w:rStyle w:val="FootnoteAnchor"/>
          <w:rFonts w:cs="Tahoma" w:ascii="Tahoma" w:hAnsi="Tahoma"/>
          <w:iCs/>
          <w:sz w:val="20"/>
          <w:lang w:val="sr-RS"/>
        </w:rPr>
        <w:footnoteReference w:id="8"/>
      </w:r>
      <w:r>
        <w:rPr>
          <w:rFonts w:cs="Tahoma" w:ascii="Tahoma" w:hAnsi="Tahoma"/>
          <w:iCs/>
          <w:sz w:val="20"/>
          <w:lang w:val="sr-RS"/>
        </w:rPr>
        <w:t>. године. Општинско веће је Решењем бр</w:t>
      </w:r>
      <w:r>
        <w:rPr>
          <w:rFonts w:cs="Tahoma" w:ascii="Tahoma" w:hAnsi="Tahoma"/>
          <w:iCs/>
          <w:color w:val="auto"/>
          <w:sz w:val="20"/>
          <w:lang w:val="sr-RS"/>
        </w:rPr>
        <w:t xml:space="preserve"> </w:t>
      </w:r>
      <w:r>
        <w:rPr>
          <w:rFonts w:cs="Tahoma" w:ascii="Tahoma" w:hAnsi="Tahoma"/>
          <w:iCs/>
          <w:color w:val="auto"/>
          <w:sz w:val="20"/>
          <w:lang w:val="sr-Latn-RS"/>
        </w:rPr>
        <w:t>0</w:t>
      </w:r>
      <w:r>
        <w:rPr>
          <w:rFonts w:cs="Tahoma" w:ascii="Tahoma" w:hAnsi="Tahoma"/>
          <w:iCs/>
          <w:color w:val="auto"/>
          <w:sz w:val="20"/>
          <w:lang w:val="sr-RS"/>
        </w:rPr>
        <w:t>1-02-97 од 13</w:t>
      </w:r>
      <w:r>
        <w:rPr>
          <w:rFonts w:cs="Tahoma" w:ascii="Tahoma" w:hAnsi="Tahoma"/>
          <w:iCs/>
          <w:color w:val="auto"/>
          <w:sz w:val="20"/>
          <w:lang w:val="sr-Latn-RS"/>
        </w:rPr>
        <w:t>.</w:t>
      </w:r>
      <w:r>
        <w:rPr>
          <w:rFonts w:cs="Tahoma" w:ascii="Tahoma" w:hAnsi="Tahoma"/>
          <w:iCs/>
          <w:color w:val="auto"/>
          <w:sz w:val="20"/>
          <w:lang w:val="sr-RS"/>
        </w:rPr>
        <w:t>9</w:t>
      </w:r>
      <w:r>
        <w:rPr>
          <w:rFonts w:cs="Tahoma" w:ascii="Tahoma" w:hAnsi="Tahoma"/>
          <w:iCs/>
          <w:color w:val="auto"/>
          <w:sz w:val="20"/>
          <w:lang w:val="sr-Latn-RS"/>
        </w:rPr>
        <w:t>.2024.</w:t>
      </w:r>
      <w:r>
        <w:rPr>
          <w:rFonts w:cs="Tahoma" w:ascii="Tahoma" w:hAnsi="Tahoma"/>
          <w:iCs/>
          <w:color w:val="FF0000"/>
          <w:sz w:val="20"/>
          <w:lang w:val="sr-Latn-RS"/>
        </w:rPr>
        <w:t xml:space="preserve"> </w:t>
      </w:r>
      <w:r>
        <w:rPr>
          <w:rFonts w:cs="Tahoma" w:ascii="Tahoma" w:hAnsi="Tahoma"/>
          <w:iCs/>
          <w:sz w:val="20"/>
          <w:lang w:val="sr-RS"/>
        </w:rPr>
        <w:t>године формирало</w:t>
      </w:r>
      <w:r>
        <w:rPr>
          <w:rFonts w:cs="Tahoma" w:ascii="Tahoma" w:hAnsi="Tahoma"/>
          <w:iCs/>
          <w:sz w:val="20"/>
          <w:lang w:val="sr-Latn-RS"/>
        </w:rPr>
        <w:t xml:space="preserve"> </w:t>
      </w:r>
      <w:r>
        <w:rPr>
          <w:rFonts w:cs="Tahoma" w:ascii="Tahoma" w:hAnsi="Tahoma"/>
          <w:iCs/>
          <w:sz w:val="20"/>
          <w:lang w:val="sr-RS"/>
        </w:rPr>
        <w:t xml:space="preserve">Радну групу задужену за израду Програма коју чини </w:t>
      </w:r>
      <w:r>
        <w:rPr>
          <w:rFonts w:cs="Tahoma" w:ascii="Tahoma" w:hAnsi="Tahoma"/>
          <w:iCs/>
          <w:sz w:val="20"/>
          <w:lang w:val="sr-Latn-RS"/>
        </w:rPr>
        <w:t>14</w:t>
      </w:r>
      <w:r>
        <w:rPr>
          <w:rFonts w:cs="Tahoma" w:ascii="Tahoma" w:hAnsi="Tahoma"/>
          <w:iCs/>
          <w:sz w:val="20"/>
          <w:lang w:val="sr-RS"/>
        </w:rPr>
        <w:t xml:space="preserve"> чланова и чланица, представника/ца локалне самоуправе, релевантних локалних институција и организација цивилног друштва. </w:t>
      </w:r>
    </w:p>
    <w:p>
      <w:pPr>
        <w:pStyle w:val="Normal"/>
        <w:spacing w:lineRule="auto" w:line="240"/>
        <w:jc w:val="both"/>
        <w:rPr>
          <w:rFonts w:ascii="Tahoma" w:hAnsi="Tahoma" w:cs="Tahoma"/>
          <w:sz w:val="20"/>
          <w:lang w:val="sr-RS"/>
        </w:rPr>
      </w:pPr>
      <w:r>
        <w:rPr>
          <w:rFonts w:cs="Tahoma" w:ascii="Tahoma" w:hAnsi="Tahoma"/>
          <w:sz w:val="20"/>
          <w:lang w:val="sr-RS"/>
        </w:rPr>
        <w:t>За координатора Радне групе именована је Марица Савковић, чланица Општинског већа. Као чланице и чланови Радне групе именовани су:</w:t>
      </w:r>
    </w:p>
    <w:p>
      <w:pPr>
        <w:pStyle w:val="Standard"/>
        <w:numPr>
          <w:ilvl w:val="0"/>
          <w:numId w:val="7"/>
        </w:numPr>
        <w:tabs>
          <w:tab w:val="clear" w:pos="720"/>
          <w:tab w:val="left" w:pos="5552" w:leader="none"/>
        </w:tabs>
        <w:rPr>
          <w:sz w:val="20"/>
          <w:szCs w:val="20"/>
        </w:rPr>
      </w:pPr>
      <w:r>
        <w:rPr>
          <w:rFonts w:cs="Tahoma" w:ascii="Tahoma" w:hAnsi="Tahoma"/>
          <w:sz w:val="20"/>
          <w:szCs w:val="20"/>
          <w:lang w:val="sr-RS"/>
        </w:rPr>
        <w:t>Драган Глигорић, Општинска управа, руководилац Одељења за буџет и финансије</w:t>
      </w:r>
    </w:p>
    <w:p>
      <w:pPr>
        <w:pStyle w:val="Standard"/>
        <w:numPr>
          <w:ilvl w:val="0"/>
          <w:numId w:val="7"/>
        </w:numPr>
        <w:tabs>
          <w:tab w:val="clear" w:pos="720"/>
          <w:tab w:val="left" w:pos="5552" w:leader="none"/>
        </w:tabs>
        <w:rPr>
          <w:sz w:val="20"/>
          <w:szCs w:val="20"/>
        </w:rPr>
      </w:pPr>
      <w:r>
        <w:rPr>
          <w:rFonts w:cs="Tahoma" w:ascii="Tahoma" w:hAnsi="Tahoma"/>
          <w:sz w:val="20"/>
          <w:szCs w:val="20"/>
          <w:lang w:val="sr-RS"/>
        </w:rPr>
        <w:t xml:space="preserve">Жана Стефанишин, Општинска управа, </w:t>
      </w:r>
      <w:r>
        <w:rPr>
          <w:rFonts w:cs="Arial" w:ascii="Tahoma" w:hAnsi="Tahoma"/>
          <w:color w:val="000000"/>
          <w:sz w:val="20"/>
          <w:szCs w:val="20"/>
          <w:lang w:val="sr-CS"/>
        </w:rPr>
        <w:t>Руководилац Одељења за имовинске, опште и заједничке послове</w:t>
      </w:r>
    </w:p>
    <w:p>
      <w:pPr>
        <w:pStyle w:val="Standard"/>
        <w:numPr>
          <w:ilvl w:val="0"/>
          <w:numId w:val="7"/>
        </w:numPr>
        <w:tabs>
          <w:tab w:val="clear" w:pos="720"/>
          <w:tab w:val="left" w:pos="5552" w:leader="none"/>
        </w:tabs>
        <w:rPr>
          <w:sz w:val="20"/>
          <w:szCs w:val="20"/>
        </w:rPr>
      </w:pPr>
      <w:r>
        <w:rPr>
          <w:rFonts w:cs="Tahoma" w:ascii="Tahoma" w:hAnsi="Tahoma"/>
          <w:sz w:val="20"/>
          <w:szCs w:val="20"/>
          <w:lang w:val="sr-RS"/>
        </w:rPr>
        <w:t>Ружица  Србљин Зећировић, Центар за социјални рад Нови Сад-одељење у Беочину, руководилац</w:t>
      </w:r>
    </w:p>
    <w:p>
      <w:pPr>
        <w:pStyle w:val="Standard"/>
        <w:numPr>
          <w:ilvl w:val="0"/>
          <w:numId w:val="7"/>
        </w:numPr>
        <w:tabs>
          <w:tab w:val="clear" w:pos="720"/>
          <w:tab w:val="left" w:pos="5552" w:leader="none"/>
        </w:tabs>
        <w:rPr>
          <w:sz w:val="20"/>
          <w:szCs w:val="20"/>
        </w:rPr>
      </w:pPr>
      <w:r>
        <w:rPr>
          <w:rFonts w:cs="Tahoma" w:ascii="Tahoma" w:hAnsi="Tahoma"/>
          <w:sz w:val="20"/>
          <w:szCs w:val="20"/>
          <w:lang w:val="sr-RS"/>
        </w:rPr>
        <w:t>Ружица Недић, Дом здравља „Др Душан Савић Дода“ Беочин, начелница Опште медицине са ХМП и кућним лечењем;</w:t>
      </w:r>
    </w:p>
    <w:p>
      <w:pPr>
        <w:pStyle w:val="Standard"/>
        <w:numPr>
          <w:ilvl w:val="0"/>
          <w:numId w:val="7"/>
        </w:numPr>
        <w:tabs>
          <w:tab w:val="clear" w:pos="720"/>
          <w:tab w:val="left" w:pos="5552" w:leader="none"/>
        </w:tabs>
        <w:rPr>
          <w:sz w:val="20"/>
          <w:szCs w:val="20"/>
        </w:rPr>
      </w:pPr>
      <w:r>
        <w:rPr>
          <w:rFonts w:cs="Tahoma" w:ascii="Tahoma" w:hAnsi="Tahoma"/>
          <w:sz w:val="20"/>
          <w:szCs w:val="20"/>
          <w:lang w:val="sr-RS"/>
        </w:rPr>
        <w:t>Драган Митић, ОШ „Јован Грчић Миленко“ Беочин, директор;</w:t>
      </w:r>
    </w:p>
    <w:p>
      <w:pPr>
        <w:pStyle w:val="Standard"/>
        <w:numPr>
          <w:ilvl w:val="0"/>
          <w:numId w:val="7"/>
        </w:numPr>
        <w:tabs>
          <w:tab w:val="clear" w:pos="720"/>
          <w:tab w:val="left" w:pos="5552" w:leader="none"/>
        </w:tabs>
        <w:rPr>
          <w:sz w:val="20"/>
          <w:szCs w:val="20"/>
        </w:rPr>
      </w:pPr>
      <w:r>
        <w:rPr>
          <w:rFonts w:cs="Tahoma" w:ascii="Tahoma" w:hAnsi="Tahoma"/>
          <w:sz w:val="20"/>
          <w:szCs w:val="20"/>
          <w:lang w:val="sr-RS"/>
        </w:rPr>
        <w:t>Бојана Недић, ОШ „Јован Поповић“ Сусек, секретар;</w:t>
      </w:r>
    </w:p>
    <w:p>
      <w:pPr>
        <w:pStyle w:val="Standard"/>
        <w:numPr>
          <w:ilvl w:val="0"/>
          <w:numId w:val="7"/>
        </w:numPr>
        <w:tabs>
          <w:tab w:val="clear" w:pos="720"/>
          <w:tab w:val="left" w:pos="5552" w:leader="none"/>
        </w:tabs>
        <w:rPr>
          <w:sz w:val="20"/>
          <w:szCs w:val="20"/>
        </w:rPr>
      </w:pPr>
      <w:r>
        <w:rPr>
          <w:rFonts w:cs="Tahoma" w:ascii="Tahoma" w:hAnsi="Tahoma"/>
          <w:sz w:val="20"/>
          <w:szCs w:val="20"/>
          <w:lang w:val="sr-RS"/>
        </w:rPr>
        <w:t xml:space="preserve">Љубица Пејић Кузмановић, Предшколска установе „Љуба Станковић“ Беочин, социјални радник и медицинска сестра за превентивну здравствену заштиту и негу  </w:t>
      </w:r>
    </w:p>
    <w:p>
      <w:pPr>
        <w:pStyle w:val="Standard"/>
        <w:numPr>
          <w:ilvl w:val="0"/>
          <w:numId w:val="7"/>
        </w:numPr>
        <w:tabs>
          <w:tab w:val="clear" w:pos="720"/>
          <w:tab w:val="left" w:pos="5552" w:leader="none"/>
        </w:tabs>
        <w:rPr>
          <w:sz w:val="20"/>
          <w:szCs w:val="20"/>
        </w:rPr>
      </w:pPr>
      <w:r>
        <w:rPr>
          <w:rFonts w:cs="Tahoma" w:ascii="Tahoma" w:hAnsi="Tahoma"/>
          <w:sz w:val="20"/>
          <w:szCs w:val="20"/>
          <w:lang w:val="sr-RS"/>
        </w:rPr>
        <w:t>Агим Др</w:t>
      </w:r>
      <w:r>
        <w:rPr>
          <w:rFonts w:cs="Tahoma" w:ascii="Tahoma" w:hAnsi="Tahoma"/>
          <w:sz w:val="20"/>
          <w:szCs w:val="20"/>
          <w:shd w:fill="auto" w:val="clear"/>
          <w:lang w:val="sr-RS"/>
          <w14:ligatures w14:val="none"/>
        </w:rPr>
        <w:t>маку</w:t>
      </w:r>
      <w:r>
        <w:rPr>
          <w:rFonts w:cs="Tahoma" w:ascii="Tahoma" w:hAnsi="Tahoma"/>
          <w:color w:val="000000"/>
          <w:sz w:val="20"/>
          <w:szCs w:val="20"/>
          <w:shd w:fill="auto" w:val="clear"/>
          <w:lang w:val="sr-RS"/>
          <w14:ligatures w14:val="none"/>
        </w:rPr>
        <w:t>, Удружење Културни центар Рома Беочин, председник;</w:t>
      </w:r>
      <w:r>
        <w:rPr>
          <w:rFonts w:cs="Tahoma" w:ascii="Tahoma" w:hAnsi="Tahoma"/>
          <w:color w:val="auto"/>
          <w:sz w:val="20"/>
          <w:szCs w:val="20"/>
          <w:lang w:val="sr-RS"/>
        </w:rPr>
        <w:tab/>
      </w:r>
    </w:p>
    <w:p>
      <w:pPr>
        <w:pStyle w:val="Standard"/>
        <w:numPr>
          <w:ilvl w:val="0"/>
          <w:numId w:val="7"/>
        </w:numPr>
        <w:tabs>
          <w:tab w:val="clear" w:pos="720"/>
          <w:tab w:val="left" w:pos="5552" w:leader="none"/>
        </w:tabs>
        <w:rPr>
          <w:sz w:val="20"/>
          <w:szCs w:val="20"/>
        </w:rPr>
      </w:pPr>
      <w:r>
        <w:rPr>
          <w:rFonts w:cs="Tahoma" w:ascii="Tahoma" w:hAnsi="Tahoma"/>
          <w:sz w:val="20"/>
          <w:szCs w:val="20"/>
        </w:rPr>
        <w:t>Драган Бранковић</w:t>
      </w:r>
      <w:r>
        <w:rPr>
          <w:rFonts w:cs="Tahoma" w:ascii="Tahoma" w:hAnsi="Tahoma"/>
          <w:sz w:val="20"/>
          <w:szCs w:val="20"/>
          <w:lang w:val="sr-RS"/>
        </w:rPr>
        <w:t xml:space="preserve">, </w:t>
      </w:r>
      <w:r>
        <w:rPr>
          <w:rFonts w:cs="Tahoma" w:ascii="Tahoma" w:hAnsi="Tahoma"/>
          <w:sz w:val="20"/>
          <w:szCs w:val="20"/>
        </w:rPr>
        <w:t>Црвен</w:t>
      </w:r>
      <w:r>
        <w:rPr>
          <w:rFonts w:cs="Tahoma" w:ascii="Tahoma" w:hAnsi="Tahoma"/>
          <w:sz w:val="20"/>
          <w:szCs w:val="20"/>
          <w:lang w:val="sr-RS"/>
        </w:rPr>
        <w:t>и</w:t>
      </w:r>
      <w:r>
        <w:rPr>
          <w:rFonts w:cs="Tahoma" w:ascii="Tahoma" w:hAnsi="Tahoma"/>
          <w:sz w:val="20"/>
          <w:szCs w:val="20"/>
        </w:rPr>
        <w:t xml:space="preserve"> крст </w:t>
      </w:r>
      <w:r>
        <w:rPr>
          <w:rFonts w:cs="Tahoma" w:ascii="Tahoma" w:hAnsi="Tahoma"/>
          <w:sz w:val="20"/>
          <w:szCs w:val="20"/>
          <w:lang w:val="sr-RS"/>
        </w:rPr>
        <w:t>Беочин, председник;</w:t>
      </w:r>
    </w:p>
    <w:p>
      <w:pPr>
        <w:pStyle w:val="Standard"/>
        <w:numPr>
          <w:ilvl w:val="0"/>
          <w:numId w:val="7"/>
        </w:numPr>
        <w:tabs>
          <w:tab w:val="clear" w:pos="720"/>
          <w:tab w:val="left" w:pos="5552" w:leader="none"/>
        </w:tabs>
        <w:rPr>
          <w:sz w:val="20"/>
          <w:szCs w:val="20"/>
        </w:rPr>
      </w:pPr>
      <w:r>
        <w:rPr>
          <w:rFonts w:cs="Tahoma" w:ascii="Tahoma" w:hAnsi="Tahoma"/>
          <w:sz w:val="20"/>
          <w:szCs w:val="20"/>
          <w:lang w:val="sr-RS"/>
        </w:rPr>
        <w:t>Нада Лазић, Национална служба за запошљавање, саветник за запошљавање;</w:t>
      </w:r>
    </w:p>
    <w:p>
      <w:pPr>
        <w:pStyle w:val="Standard"/>
        <w:numPr>
          <w:ilvl w:val="0"/>
          <w:numId w:val="7"/>
        </w:numPr>
        <w:tabs>
          <w:tab w:val="clear" w:pos="720"/>
          <w:tab w:val="left" w:pos="5552" w:leader="none"/>
        </w:tabs>
        <w:rPr>
          <w:sz w:val="20"/>
          <w:szCs w:val="20"/>
        </w:rPr>
      </w:pPr>
      <w:r>
        <w:rPr>
          <w:rFonts w:cs="Tahoma" w:ascii="Tahoma" w:hAnsi="Tahoma"/>
          <w:sz w:val="20"/>
          <w:szCs w:val="20"/>
          <w:lang w:val="sr-RS"/>
        </w:rPr>
        <w:t>Весна Ижак, Спортски савез општине Беочин, генерални секретар;</w:t>
      </w:r>
    </w:p>
    <w:p>
      <w:pPr>
        <w:pStyle w:val="Standard"/>
        <w:numPr>
          <w:ilvl w:val="0"/>
          <w:numId w:val="7"/>
        </w:numPr>
        <w:tabs>
          <w:tab w:val="clear" w:pos="720"/>
          <w:tab w:val="left" w:pos="5552" w:leader="none"/>
        </w:tabs>
        <w:rPr>
          <w:sz w:val="20"/>
          <w:szCs w:val="20"/>
        </w:rPr>
      </w:pPr>
      <w:r>
        <w:rPr>
          <w:rFonts w:cs="Tahoma" w:ascii="Tahoma" w:hAnsi="Tahoma"/>
          <w:sz w:val="20"/>
          <w:szCs w:val="20"/>
        </w:rPr>
        <w:t>Вера Летош</w:t>
      </w:r>
      <w:r>
        <w:rPr>
          <w:rFonts w:cs="Tahoma" w:ascii="Tahoma" w:hAnsi="Tahoma"/>
          <w:sz w:val="20"/>
          <w:szCs w:val="20"/>
          <w:lang w:val="sr-RS"/>
        </w:rPr>
        <w:t xml:space="preserve">, </w:t>
      </w:r>
      <w:r>
        <w:rPr>
          <w:rFonts w:cs="Tahoma" w:ascii="Tahoma" w:hAnsi="Tahoma"/>
          <w:sz w:val="20"/>
          <w:szCs w:val="20"/>
        </w:rPr>
        <w:t>Удружењ</w:t>
      </w:r>
      <w:r>
        <w:rPr>
          <w:rFonts w:cs="Tahoma" w:ascii="Tahoma" w:hAnsi="Tahoma"/>
          <w:sz w:val="20"/>
          <w:szCs w:val="20"/>
          <w:lang w:val="sr-RS"/>
        </w:rPr>
        <w:t>е</w:t>
      </w:r>
      <w:r>
        <w:rPr>
          <w:rFonts w:cs="Tahoma" w:ascii="Tahoma" w:hAnsi="Tahoma"/>
          <w:sz w:val="20"/>
          <w:szCs w:val="20"/>
        </w:rPr>
        <w:t xml:space="preserve"> пензионера, </w:t>
      </w:r>
      <w:r>
        <w:rPr>
          <w:rFonts w:cs="Tahoma" w:ascii="Tahoma" w:hAnsi="Tahoma"/>
          <w:sz w:val="20"/>
          <w:szCs w:val="20"/>
          <w:lang w:val="sr-RS"/>
        </w:rPr>
        <w:t>председница;</w:t>
      </w:r>
    </w:p>
    <w:p>
      <w:pPr>
        <w:pStyle w:val="Standard"/>
        <w:numPr>
          <w:ilvl w:val="0"/>
          <w:numId w:val="7"/>
        </w:numPr>
        <w:tabs>
          <w:tab w:val="clear" w:pos="720"/>
          <w:tab w:val="left" w:pos="5552" w:leader="none"/>
        </w:tabs>
        <w:rPr>
          <w:sz w:val="20"/>
          <w:szCs w:val="20"/>
        </w:rPr>
      </w:pPr>
      <w:r>
        <w:rPr>
          <w:rFonts w:cs="Tahoma" w:ascii="Tahoma" w:hAnsi="Tahoma"/>
          <w:sz w:val="20"/>
          <w:szCs w:val="20"/>
          <w:lang w:val="sr-RS"/>
        </w:rPr>
        <w:t>Стеван Синђелић, Општинска организација инвалида рада Беочин, председник;</w:t>
      </w:r>
    </w:p>
    <w:p>
      <w:pPr>
        <w:pStyle w:val="Standard"/>
        <w:numPr>
          <w:ilvl w:val="0"/>
          <w:numId w:val="7"/>
        </w:numPr>
        <w:tabs>
          <w:tab w:val="clear" w:pos="720"/>
          <w:tab w:val="left" w:pos="5552" w:leader="none"/>
        </w:tabs>
        <w:rPr>
          <w:sz w:val="20"/>
          <w:szCs w:val="20"/>
        </w:rPr>
      </w:pPr>
      <w:r>
        <w:rPr>
          <w:rFonts w:cs="Tahoma" w:ascii="Tahoma" w:hAnsi="Tahoma"/>
          <w:sz w:val="20"/>
          <w:szCs w:val="20"/>
        </w:rPr>
        <w:t>Јелена Живкови</w:t>
      </w:r>
      <w:r>
        <w:rPr>
          <w:rFonts w:cs="Tahoma" w:ascii="Tahoma" w:hAnsi="Tahoma"/>
          <w:color w:val="auto"/>
          <w:sz w:val="20"/>
          <w:szCs w:val="20"/>
        </w:rPr>
        <w:t>ћ</w:t>
      </w:r>
      <w:r>
        <w:rPr>
          <w:rFonts w:cs="Tahoma" w:ascii="Tahoma" w:hAnsi="Tahoma"/>
          <w:color w:val="auto"/>
          <w:sz w:val="20"/>
          <w:szCs w:val="20"/>
          <w:lang w:val="sr-RS"/>
        </w:rPr>
        <w:t>, удружење жена „Бразилијански бисери“ Беочин, председница;</w:t>
      </w:r>
    </w:p>
    <w:p>
      <w:pPr>
        <w:pStyle w:val="Standard"/>
        <w:numPr>
          <w:ilvl w:val="0"/>
          <w:numId w:val="0"/>
        </w:numPr>
        <w:tabs>
          <w:tab w:val="clear" w:pos="720"/>
          <w:tab w:val="left" w:pos="5552" w:leader="none"/>
        </w:tabs>
        <w:ind w:start="720" w:hanging="0"/>
        <w:rPr>
          <w:sz w:val="20"/>
          <w:szCs w:val="20"/>
        </w:rPr>
      </w:pPr>
      <w:r>
        <w:rPr>
          <w:sz w:val="20"/>
          <w:szCs w:val="20"/>
        </w:rPr>
      </w:r>
    </w:p>
    <w:p>
      <w:pPr>
        <w:pStyle w:val="Normal"/>
        <w:spacing w:lineRule="auto" w:line="240" w:before="0" w:after="0"/>
        <w:ind w:start="19" w:end="40" w:hanging="0"/>
        <w:jc w:val="both"/>
        <w:rPr>
          <w:rFonts w:ascii="Tahoma" w:hAnsi="Tahoma" w:cs="Tahoma"/>
          <w:sz w:val="20"/>
          <w:szCs w:val="20"/>
          <w:lang w:val="sr-RS"/>
        </w:rPr>
      </w:pPr>
      <w:r>
        <w:rPr>
          <w:rFonts w:cs="Tahoma" w:ascii="Tahoma" w:hAnsi="Tahoma"/>
          <w:sz w:val="20"/>
          <w:szCs w:val="20"/>
          <w:lang w:val="sr-RS"/>
        </w:rPr>
      </w:r>
    </w:p>
    <w:p>
      <w:pPr>
        <w:pStyle w:val="Normal"/>
        <w:spacing w:lineRule="auto" w:line="240" w:before="0" w:after="0"/>
        <w:ind w:start="19" w:end="40" w:hanging="0"/>
        <w:jc w:val="both"/>
        <w:rPr>
          <w:rFonts w:ascii="Tahoma" w:hAnsi="Tahoma" w:cs="Tahoma"/>
          <w:sz w:val="20"/>
          <w:lang w:val="sr-RS"/>
        </w:rPr>
      </w:pPr>
      <w:r>
        <w:rPr>
          <w:rFonts w:cs="Tahoma" w:ascii="Tahoma" w:hAnsi="Tahoma"/>
          <w:sz w:val="20"/>
          <w:lang w:val="sr-RS"/>
        </w:rPr>
        <w:t xml:space="preserve">Задатак радне групе је израда Програма унапређења социјалне заштите, а посебно: </w:t>
      </w:r>
    </w:p>
    <w:p>
      <w:pPr>
        <w:pStyle w:val="ListParagraph"/>
        <w:numPr>
          <w:ilvl w:val="0"/>
          <w:numId w:val="2"/>
        </w:numPr>
        <w:spacing w:lineRule="auto" w:line="240" w:before="0" w:after="0"/>
        <w:ind w:start="739" w:end="40" w:hanging="360"/>
        <w:contextualSpacing/>
        <w:jc w:val="both"/>
        <w:rPr>
          <w:rFonts w:ascii="Tahoma" w:hAnsi="Tahoma" w:cs="Tahoma"/>
          <w:sz w:val="20"/>
          <w:lang w:val="sr-RS"/>
        </w:rPr>
      </w:pPr>
      <w:r>
        <w:rPr>
          <w:rFonts w:cs="Tahoma" w:ascii="Tahoma" w:hAnsi="Tahoma"/>
          <w:sz w:val="20"/>
          <w:lang w:val="sr-RS"/>
        </w:rPr>
        <w:t xml:space="preserve">израда плана активности на изради Програма; </w:t>
      </w:r>
    </w:p>
    <w:p>
      <w:pPr>
        <w:pStyle w:val="ListParagraph"/>
        <w:numPr>
          <w:ilvl w:val="0"/>
          <w:numId w:val="2"/>
        </w:numPr>
        <w:spacing w:lineRule="auto" w:line="240" w:before="0" w:after="0"/>
        <w:ind w:start="739" w:end="40" w:hanging="360"/>
        <w:contextualSpacing/>
        <w:jc w:val="both"/>
        <w:rPr>
          <w:rFonts w:ascii="Tahoma" w:hAnsi="Tahoma" w:eastAsia="Times New Roman" w:cs="Tahoma"/>
          <w:sz w:val="20"/>
          <w:lang w:val="sr-RS"/>
        </w:rPr>
      </w:pPr>
      <w:r>
        <w:rPr>
          <w:rFonts w:eastAsia="Times New Roman" w:cs="Tahoma" w:ascii="Tahoma" w:hAnsi="Tahoma"/>
          <w:sz w:val="20"/>
          <w:lang w:val="sr-RS"/>
        </w:rPr>
        <w:t xml:space="preserve">израда нацрта Програма и учешће у јавној расправи о предлогу Програма; </w:t>
      </w:r>
    </w:p>
    <w:p>
      <w:pPr>
        <w:pStyle w:val="ListParagraph"/>
        <w:numPr>
          <w:ilvl w:val="0"/>
          <w:numId w:val="2"/>
        </w:numPr>
        <w:spacing w:lineRule="auto" w:line="240" w:before="0" w:after="0"/>
        <w:ind w:start="739" w:end="40" w:hanging="360"/>
        <w:contextualSpacing/>
        <w:jc w:val="both"/>
        <w:rPr>
          <w:rFonts w:ascii="Tahoma" w:hAnsi="Tahoma" w:eastAsia="Times New Roman" w:cs="Tahoma"/>
          <w:sz w:val="20"/>
          <w:lang w:val="sr-RS"/>
        </w:rPr>
      </w:pPr>
      <w:r>
        <w:rPr>
          <w:rFonts w:eastAsia="Times New Roman" w:cs="Tahoma" w:ascii="Tahoma" w:hAnsi="Tahoma"/>
          <w:sz w:val="20"/>
          <w:lang w:val="sr-RS"/>
        </w:rPr>
        <w:t xml:space="preserve">припрема аналитичких и других докумената у циљу припреме Програма унапређења социјалне заштите; </w:t>
      </w:r>
    </w:p>
    <w:p>
      <w:pPr>
        <w:pStyle w:val="ListParagraph"/>
        <w:numPr>
          <w:ilvl w:val="0"/>
          <w:numId w:val="2"/>
        </w:numPr>
        <w:spacing w:lineRule="auto" w:line="240" w:before="0" w:after="0"/>
        <w:ind w:start="739" w:end="40" w:hanging="360"/>
        <w:contextualSpacing/>
        <w:jc w:val="both"/>
        <w:rPr>
          <w:rFonts w:ascii="Tahoma" w:hAnsi="Tahoma" w:eastAsia="Times New Roman" w:cs="Tahoma"/>
          <w:sz w:val="20"/>
          <w:lang w:val="sr-RS"/>
        </w:rPr>
      </w:pPr>
      <w:r>
        <w:rPr>
          <w:rFonts w:eastAsia="Times New Roman" w:cs="Tahoma" w:ascii="Tahoma" w:hAnsi="Tahoma"/>
          <w:sz w:val="20"/>
          <w:lang w:val="sr-RS"/>
        </w:rPr>
        <w:t>обезбеђивање координације, сталне  комуникације</w:t>
        <w:tab/>
        <w:t xml:space="preserve">и сарадње са представницима/цама локалне власти, надлежних институција, организација цивилног друштва и сл; </w:t>
      </w:r>
    </w:p>
    <w:p>
      <w:pPr>
        <w:pStyle w:val="ListParagraph"/>
        <w:numPr>
          <w:ilvl w:val="0"/>
          <w:numId w:val="2"/>
        </w:numPr>
        <w:spacing w:lineRule="auto" w:line="240" w:before="0" w:after="0"/>
        <w:ind w:start="739" w:end="40" w:hanging="360"/>
        <w:contextualSpacing/>
        <w:jc w:val="both"/>
        <w:rPr>
          <w:rFonts w:ascii="Tahoma" w:hAnsi="Tahoma" w:cs="Tahoma"/>
          <w:sz w:val="20"/>
          <w:lang w:val="sr-RS"/>
        </w:rPr>
      </w:pPr>
      <w:r>
        <w:rPr>
          <w:rFonts w:eastAsia="Times New Roman" w:cs="Tahoma" w:ascii="Tahoma" w:hAnsi="Tahoma"/>
          <w:sz w:val="20"/>
          <w:lang w:val="sr-RS"/>
        </w:rPr>
        <w:t>размена информација и података о текућим активностима и иницијативама надлежних институција, као и степену реализације прошлогодишњег Програма унапређења социјалне заштите.</w:t>
      </w:r>
    </w:p>
    <w:p>
      <w:pPr>
        <w:pStyle w:val="Normal"/>
        <w:spacing w:lineRule="auto" w:line="240"/>
        <w:jc w:val="both"/>
        <w:rPr>
          <w:rFonts w:ascii="Tahoma" w:hAnsi="Tahoma" w:cs="Tahoma"/>
          <w:sz w:val="20"/>
          <w:lang w:val="sr-RS"/>
        </w:rPr>
      </w:pPr>
      <w:r>
        <w:rPr>
          <w:rFonts w:cs="Tahoma" w:ascii="Tahoma" w:hAnsi="Tahoma"/>
          <w:sz w:val="20"/>
          <w:lang w:val="sr-RS"/>
        </w:rPr>
        <w:t xml:space="preserve">Радна група је током израде овог документа имала као основ Анализу стања и препорука за унапређење социјалне заштите, </w:t>
      </w:r>
      <w:r>
        <w:rPr>
          <w:rFonts w:cs="Tahoma" w:ascii="Tahoma" w:hAnsi="Tahoma"/>
          <w:bCs/>
          <w:sz w:val="20"/>
          <w:szCs w:val="24"/>
          <w:lang w:val="sr-RS"/>
        </w:rPr>
        <w:t xml:space="preserve">Извештај о потребама </w:t>
      </w:r>
      <w:r>
        <w:rPr>
          <w:rFonts w:eastAsia="Times New Roman" w:cs="Tahoma" w:ascii="Tahoma" w:hAnsi="Tahoma"/>
          <w:bCs/>
          <w:sz w:val="20"/>
          <w:szCs w:val="24"/>
          <w:lang w:val="sr-RS" w:eastAsia="it-IT"/>
        </w:rPr>
        <w:t>корисника и потенцијалних корисника права и услуга социјалне заштите на територији локалне самоуправе и</w:t>
      </w:r>
      <w:r>
        <w:rPr>
          <w:rFonts w:cs="Tahoma" w:ascii="Tahoma" w:hAnsi="Tahoma"/>
          <w:bCs/>
          <w:sz w:val="20"/>
          <w:szCs w:val="24"/>
          <w:lang w:val="sr-RS"/>
        </w:rPr>
        <w:t xml:space="preserve"> ресурсима пружалаца услуга на територији општине, са препорукама за приоритизацију потреба за обезбеђивањем подршке кроз успостаљање/унапређење услуга социјалне  заштите и све релевантне националне и локалне планске и нормативне документе. Приликом планирања спроведени су с</w:t>
      </w:r>
      <w:r>
        <w:rPr>
          <w:rFonts w:cs="Tahoma" w:ascii="Tahoma" w:hAnsi="Tahoma"/>
          <w:sz w:val="20"/>
          <w:lang w:val="sr-RS"/>
        </w:rPr>
        <w:t xml:space="preserve">ледећи кораци: припремљена је ситуациона анализа са </w:t>
      </w:r>
      <w:r>
        <w:rPr>
          <w:rFonts w:cs="Tahoma" w:ascii="Tahoma" w:hAnsi="Tahoma"/>
          <w:sz w:val="20"/>
          <w:lang w:val="sr-Latn-RS"/>
        </w:rPr>
        <w:t>S</w:t>
      </w:r>
      <w:r>
        <w:rPr>
          <w:rFonts w:cs="Tahoma" w:ascii="Tahoma" w:hAnsi="Tahoma"/>
          <w:sz w:val="20"/>
        </w:rPr>
        <w:t>W</w:t>
      </w:r>
      <w:r>
        <w:rPr>
          <w:rFonts w:cs="Tahoma" w:ascii="Tahoma" w:hAnsi="Tahoma"/>
          <w:sz w:val="20"/>
          <w:lang w:val="sr-RS"/>
        </w:rPr>
        <w:t>ОТ анализом. Утврђени су Општи и три Посебн</w:t>
      </w:r>
      <w:r>
        <w:rPr>
          <w:rFonts w:cs="Tahoma" w:ascii="Tahoma" w:hAnsi="Tahoma"/>
          <w:sz w:val="20"/>
          <w:lang w:val="sr-Latn-RS"/>
        </w:rPr>
        <w:t>a</w:t>
      </w:r>
      <w:r>
        <w:rPr>
          <w:rFonts w:cs="Tahoma" w:ascii="Tahoma" w:hAnsi="Tahoma"/>
          <w:sz w:val="20"/>
          <w:lang w:val="sr-RS"/>
        </w:rPr>
        <w:t xml:space="preserve"> циљ</w:t>
      </w:r>
      <w:r>
        <w:rPr>
          <w:rFonts w:cs="Tahoma" w:ascii="Tahoma" w:hAnsi="Tahoma"/>
          <w:sz w:val="20"/>
          <w:lang w:val="sr-Latn-RS"/>
        </w:rPr>
        <w:t>a</w:t>
      </w:r>
      <w:r>
        <w:rPr>
          <w:rFonts w:cs="Tahoma" w:ascii="Tahoma" w:hAnsi="Tahoma"/>
          <w:sz w:val="20"/>
          <w:lang w:val="sr-RS"/>
        </w:rPr>
        <w:t xml:space="preserve">. За сваки од посебних циљева дефинисане су припадајуће мере са показатељима, полазним и циљаним вредностима, носиоцима и потребним средствима. За сваку од активности утврђени су носилац и партнери, временски оквир, потребна финансијска средства по изворима, индикатори са полазним и циљаним вредностима и извори верификације. </w:t>
      </w:r>
    </w:p>
    <w:p>
      <w:pPr>
        <w:pStyle w:val="Normal"/>
        <w:spacing w:lineRule="auto" w:line="240"/>
        <w:rPr>
          <w:rFonts w:ascii="Tahoma" w:hAnsi="Tahoma" w:cs="Tahoma"/>
          <w:sz w:val="20"/>
          <w:lang w:val="sr-RS"/>
        </w:rPr>
      </w:pPr>
      <w:r>
        <w:rPr>
          <w:rFonts w:cs="Tahoma" w:ascii="Tahoma" w:hAnsi="Tahoma"/>
          <w:sz w:val="20"/>
          <w:lang w:val="sr-RS"/>
        </w:rPr>
      </w:r>
    </w:p>
    <w:p>
      <w:pPr>
        <w:pStyle w:val="Heading1"/>
        <w:numPr>
          <w:ilvl w:val="0"/>
          <w:numId w:val="1"/>
        </w:numPr>
        <w:spacing w:lineRule="auto" w:line="240"/>
        <w:rPr>
          <w:rFonts w:ascii="Tahoma" w:hAnsi="Tahoma" w:cs="Tahoma"/>
          <w:b/>
          <w:b/>
          <w:sz w:val="28"/>
          <w:szCs w:val="28"/>
          <w:lang w:val="sr-RS"/>
        </w:rPr>
      </w:pPr>
      <w:bookmarkStart w:id="4" w:name="_Toc188876939"/>
      <w:r>
        <w:rPr>
          <w:rFonts w:cs="Tahoma" w:ascii="Tahoma" w:hAnsi="Tahoma"/>
          <w:b/>
          <w:sz w:val="28"/>
          <w:szCs w:val="28"/>
          <w:lang w:val="sr-RS"/>
        </w:rPr>
        <w:t>Плански документи и правни оквир у области социјалне заштите</w:t>
      </w:r>
      <w:bookmarkEnd w:id="4"/>
      <w:r>
        <w:rPr>
          <w:rFonts w:cs="Tahoma" w:ascii="Tahoma" w:hAnsi="Tahoma"/>
          <w:b/>
          <w:sz w:val="28"/>
          <w:szCs w:val="28"/>
          <w:lang w:val="sr-RS"/>
        </w:rPr>
        <w:t xml:space="preserve"> </w:t>
      </w:r>
    </w:p>
    <w:p>
      <w:pPr>
        <w:pStyle w:val="Normal"/>
        <w:spacing w:lineRule="auto" w:line="240"/>
        <w:rPr>
          <w:rFonts w:ascii="Tahoma" w:hAnsi="Tahoma" w:cs="Tahoma"/>
          <w:sz w:val="20"/>
          <w:lang w:val="sr-RS"/>
        </w:rPr>
      </w:pPr>
      <w:r>
        <w:rPr>
          <w:rFonts w:cs="Tahoma" w:ascii="Tahoma" w:hAnsi="Tahoma"/>
          <w:sz w:val="20"/>
          <w:lang w:val="sr-RS"/>
        </w:rPr>
      </w:r>
    </w:p>
    <w:p>
      <w:pPr>
        <w:pStyle w:val="ListParagraph"/>
        <w:numPr>
          <w:ilvl w:val="1"/>
          <w:numId w:val="1"/>
        </w:numPr>
        <w:spacing w:lineRule="auto" w:line="240"/>
        <w:ind w:start="709" w:hanging="720"/>
        <w:jc w:val="both"/>
        <w:outlineLvl w:val="1"/>
        <w:rPr>
          <w:rFonts w:ascii="Tahoma" w:hAnsi="Tahoma" w:cs="Tahoma"/>
          <w:color w:val="0070C0"/>
          <w:sz w:val="28"/>
          <w:lang w:val="sr-RS"/>
        </w:rPr>
      </w:pPr>
      <w:bookmarkStart w:id="5" w:name="_Toc188876940"/>
      <w:r>
        <w:rPr>
          <w:rFonts w:cs="Tahoma" w:ascii="Tahoma" w:hAnsi="Tahoma"/>
          <w:color w:val="0070C0"/>
          <w:sz w:val="28"/>
          <w:lang w:val="sr-RS"/>
        </w:rPr>
        <w:t>Плански документи и правни оквир на националном нивоу</w:t>
      </w:r>
      <w:bookmarkEnd w:id="5"/>
    </w:p>
    <w:p>
      <w:pPr>
        <w:pStyle w:val="Heading3"/>
        <w:numPr>
          <w:ilvl w:val="2"/>
          <w:numId w:val="1"/>
        </w:numPr>
        <w:spacing w:lineRule="auto" w:line="240"/>
        <w:ind w:start="709" w:hanging="720"/>
        <w:rPr>
          <w:rFonts w:ascii="Tahoma" w:hAnsi="Tahoma" w:cs="Tahoma"/>
          <w:color w:val="0070C0"/>
          <w:lang w:val="sr-RS"/>
        </w:rPr>
      </w:pPr>
      <w:bookmarkStart w:id="6" w:name="_Toc188876941"/>
      <w:r>
        <w:rPr>
          <w:rFonts w:cs="Tahoma" w:ascii="Tahoma" w:hAnsi="Tahoma"/>
          <w:color w:val="0070C0"/>
          <w:lang w:val="sr-RS"/>
        </w:rPr>
        <w:t>Плански документи</w:t>
      </w:r>
      <w:bookmarkEnd w:id="6"/>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before="0" w:after="138"/>
        <w:ind w:end="81" w:hanging="0"/>
        <w:jc w:val="both"/>
        <w:rPr>
          <w:rFonts w:ascii="Tahoma" w:hAnsi="Tahoma" w:cs="Tahoma"/>
          <w:sz w:val="20"/>
          <w:lang w:val="sr-RS"/>
        </w:rPr>
      </w:pPr>
      <w:r>
        <w:rPr>
          <w:rFonts w:cs="Tahoma" w:ascii="Tahoma" w:hAnsi="Tahoma"/>
          <w:sz w:val="20"/>
          <w:lang w:val="sr-RS"/>
        </w:rPr>
        <w:t>Стратешка оријентација Републике Србије у области развоја социјалне заштите заснована је на ЕУ и националном стратешком и правном оквиру и усмерена на процесе децентрализације и деинституционализације, као и на развој услуга социјалне заштите на нивоу јединица локалне самоуправе (ЈЛС). Иако су реформе социјалне заштите у последњих неколико година спроведене без постојеће секторске стратегије, пошто је Стратегија развоја социјалне заштите усвојена 2005. године истекла, Влада Републике Србије усмеравала је реформе у области социјалне заштите кроз националне извештаје о социјалном укључивању и смањењу сиромаштва</w:t>
      </w:r>
      <w:r>
        <w:rPr>
          <w:rStyle w:val="FootnoteAnchor"/>
          <w:rFonts w:cs="Tahoma" w:ascii="Tahoma" w:hAnsi="Tahoma"/>
          <w:sz w:val="20"/>
          <w:vertAlign w:val="superscript"/>
        </w:rPr>
        <w:footnoteReference w:id="9"/>
      </w:r>
      <w:r>
        <w:rPr>
          <w:rFonts w:cs="Tahoma" w:ascii="Tahoma" w:hAnsi="Tahoma"/>
          <w:sz w:val="20"/>
          <w:lang w:val="sr-RS"/>
        </w:rPr>
        <w:t xml:space="preserve"> који су усвајани на сваке три године почев од 2011. Стратешка оријентација садржана је и у Програму реформи политике запошљавања и социјалне политике (ЕСРП)</w:t>
      </w:r>
      <w:r>
        <w:rPr>
          <w:rStyle w:val="FootnoteAnchor"/>
          <w:rFonts w:cs="Tahoma" w:ascii="Tahoma" w:hAnsi="Tahoma"/>
          <w:sz w:val="20"/>
          <w:vertAlign w:val="superscript"/>
        </w:rPr>
        <w:footnoteReference w:id="10"/>
      </w:r>
      <w:r>
        <w:rPr>
          <w:rFonts w:cs="Tahoma" w:ascii="Tahoma" w:hAnsi="Tahoma"/>
          <w:sz w:val="20"/>
          <w:lang w:val="sr-RS"/>
        </w:rPr>
        <w:t xml:space="preserve"> усвојеном 2016. године, као и Програму економских реформи (ЕРП)</w:t>
      </w:r>
      <w:r>
        <w:rPr>
          <w:rStyle w:val="FootnoteAnchor"/>
          <w:rFonts w:cs="Tahoma" w:ascii="Tahoma" w:hAnsi="Tahoma"/>
          <w:sz w:val="20"/>
          <w:vertAlign w:val="superscript"/>
        </w:rPr>
        <w:footnoteReference w:id="11"/>
      </w:r>
      <w:r>
        <w:rPr>
          <w:rFonts w:cs="Tahoma" w:ascii="Tahoma" w:hAnsi="Tahoma"/>
          <w:sz w:val="20"/>
          <w:lang w:val="sr-RS"/>
        </w:rPr>
        <w:t xml:space="preserve"> који на годишњем нивоу усклађује приоритете у различитим областима, укључујући и област социјалне заштите. Штавише, у оквиру процеса приступања Србије ЕУ, развој социјалне заштите је дефинисан и усмерен кроз различита поглавља, а кључна поглавља су Поглавље 19 (Социјална политика и запошљавање) и Поглавље 23 (Правосуђе и основна права) са одговарајућим акционим плановима</w:t>
      </w:r>
      <w:r>
        <w:rPr>
          <w:rStyle w:val="FootnoteAnchor"/>
          <w:rFonts w:cs="Tahoma" w:ascii="Tahoma" w:hAnsi="Tahoma"/>
          <w:sz w:val="20"/>
          <w:vertAlign w:val="superscript"/>
        </w:rPr>
        <w:footnoteReference w:id="12"/>
      </w:r>
      <w:r>
        <w:rPr>
          <w:rFonts w:cs="Tahoma" w:ascii="Tahoma" w:hAnsi="Tahoma"/>
          <w:sz w:val="20"/>
          <w:lang w:val="sr-RS"/>
        </w:rPr>
        <w:t>, која дефинишу приоритете, мере и активности у области унапређења система социјалне заштите у Србији у складу са стандардима ЕУ.  Током протеклих неколико година покренут је процес израде нове Стратегије развоја социјалне заштите (јавне консултације на први нацрт одржане су 2019. године). У складу са новоусвојеним Акционим планом за спровођење Програма Владе 2023-2026</w:t>
      </w:r>
      <w:r>
        <w:rPr>
          <w:rStyle w:val="FootnoteAnchor"/>
          <w:rFonts w:cs="Tahoma" w:ascii="Tahoma" w:hAnsi="Tahoma"/>
          <w:sz w:val="20"/>
          <w:vertAlign w:val="superscript"/>
        </w:rPr>
        <w:footnoteReference w:id="13"/>
      </w:r>
      <w:r>
        <w:rPr>
          <w:rFonts w:cs="Tahoma" w:ascii="Tahoma" w:hAnsi="Tahoma"/>
          <w:sz w:val="20"/>
          <w:lang w:val="sr-RS"/>
        </w:rPr>
        <w:t>, доношење нове Стратегије развоја социјалне заштите планирано је за други квартал 2024. године</w:t>
      </w:r>
      <w:r>
        <w:rPr>
          <w:rStyle w:val="FootnoteAnchor"/>
          <w:rFonts w:cs="Tahoma" w:ascii="Tahoma" w:hAnsi="Tahoma"/>
          <w:sz w:val="20"/>
          <w:vertAlign w:val="superscript"/>
        </w:rPr>
        <w:footnoteReference w:id="14"/>
      </w:r>
      <w:r>
        <w:rPr>
          <w:rFonts w:cs="Tahoma" w:ascii="Tahoma" w:hAnsi="Tahoma"/>
          <w:sz w:val="20"/>
          <w:lang w:val="sr-RS"/>
        </w:rPr>
        <w:t xml:space="preserve">.  </w:t>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Влада Републике Србије је 2022. године усвојила </w:t>
      </w:r>
      <w:r>
        <w:rPr>
          <w:rFonts w:cs="Tahoma" w:ascii="Tahoma" w:hAnsi="Tahoma"/>
          <w:iCs/>
          <w:sz w:val="20"/>
          <w:lang w:val="sr-RS"/>
        </w:rPr>
        <w:t>Стратегију деинституционализације и развојa услуга социјалне заштите у заједници за период 2022–2026. године</w:t>
      </w:r>
      <w:r>
        <w:rPr>
          <w:rStyle w:val="FootnoteAnchor"/>
          <w:rFonts w:cs="Tahoma" w:ascii="Tahoma" w:hAnsi="Tahoma"/>
          <w:iCs/>
          <w:sz w:val="20"/>
          <w:lang w:val="sr-RS"/>
        </w:rPr>
        <w:footnoteReference w:id="15"/>
      </w:r>
      <w:r>
        <w:rPr>
          <w:rFonts w:cs="Tahoma" w:ascii="Tahoma" w:hAnsi="Tahoma"/>
          <w:sz w:val="20"/>
          <w:lang w:val="sr-RS"/>
        </w:rPr>
        <w:t xml:space="preserve">. </w:t>
      </w:r>
      <w:r>
        <w:rPr>
          <w:rFonts w:cs="Tahoma" w:ascii="Tahoma" w:hAnsi="Tahoma"/>
          <w:sz w:val="20"/>
          <w:szCs w:val="24"/>
          <w:lang w:val="sr-RS"/>
        </w:rPr>
        <w:t xml:space="preserve">Стратегија деинституционализације и развоја услуга социјалне заштите у заједници у систему социјалне заштите је усаглашен систем мера, услова и инструмената јавне политике које Република Србија треба да спроведе како би се спречила институционализација, односно смањио број грађана који користе услуге домског смештаја. Стратегија треба да омогући развој услуга социјалне заштите у заједници, што ће допринети да корисници система социјалне заштите којима је потребна интензивнија подршка већину својих потреба задовољавају у природном окружењу. Примарно је усмерена ка особама са интелектуалним и менталним тешкоћама које су у највећем ризику од институционализације и социјалног искључивања. </w:t>
      </w:r>
      <w:r>
        <w:rPr>
          <w:rFonts w:cs="Tahoma" w:ascii="Tahoma" w:hAnsi="Tahoma"/>
          <w:sz w:val="20"/>
          <w:lang w:val="sr-RS"/>
        </w:rPr>
        <w:t xml:space="preserve">У самој Стратегији се у више наврата наглашава обим и значај надлежности локалних самоуправа у области социјалне заштите, али и препознају изразити системски проблеми које је потребно адресирати. Поред осталог, у Стратегији се наводи да услуге социјалне заштите у заједници не прате потребе корисника, да нису у довољној мери развијене - по броју, садржају, обухвату корисника и територији. Као разлози таквог стања препознају се нестабилни извори финансирања, те недовољно разумевање локалних самоуправа за неопходност развоја услуга социјалне заштите. </w:t>
      </w:r>
      <w:r>
        <w:rPr>
          <w:rFonts w:cs="Tahoma" w:ascii="Tahoma" w:hAnsi="Tahoma"/>
          <w:iCs/>
          <w:sz w:val="20"/>
          <w:lang w:val="sr-RS"/>
        </w:rPr>
        <w:t>Стратегијом су из националне перспективе</w:t>
      </w:r>
      <w:r>
        <w:rPr>
          <w:rFonts w:cs="Tahoma" w:ascii="Tahoma" w:hAnsi="Tahoma"/>
          <w:sz w:val="20"/>
          <w:lang w:val="sr-RS"/>
        </w:rPr>
        <w:t xml:space="preserve"> дефинисани жељени циљеви и припадајуће мере које је потребно предузимати да би се стање у области поправило, док би </w:t>
      </w:r>
      <w:r>
        <w:rPr>
          <w:rFonts w:cs="Tahoma" w:ascii="Tahoma" w:hAnsi="Tahoma"/>
          <w:iCs/>
          <w:sz w:val="20"/>
          <w:lang w:val="sr-RS"/>
        </w:rPr>
        <w:t>из перспективе локалног нивоа управо предметни програми</w:t>
      </w:r>
      <w:r>
        <w:rPr>
          <w:rFonts w:cs="Tahoma" w:ascii="Tahoma" w:hAnsi="Tahoma"/>
          <w:sz w:val="20"/>
          <w:lang w:val="sr-RS"/>
        </w:rPr>
        <w:t xml:space="preserve"> требало да представљају адекватан одговор и документе којима ће се ова јавна политика операционализовати у граду/општини, односно на регионалном нивоу кроз сарадњу ЈЛС. </w:t>
      </w:r>
    </w:p>
    <w:p>
      <w:pPr>
        <w:pStyle w:val="Normal"/>
        <w:spacing w:lineRule="auto" w:line="240" w:before="240" w:after="160"/>
        <w:jc w:val="both"/>
        <w:rPr>
          <w:rFonts w:ascii="Tahoma" w:hAnsi="Tahoma" w:cs="Tahoma"/>
          <w:sz w:val="20"/>
          <w:lang w:val="sr-RS"/>
        </w:rPr>
      </w:pPr>
      <w:r>
        <w:rPr>
          <w:rFonts w:cs="Tahoma" w:ascii="Tahoma" w:hAnsi="Tahoma"/>
          <w:bCs/>
          <w:sz w:val="20"/>
          <w:lang w:val="sr-RS"/>
        </w:rPr>
        <w:t>Стратегија унапређења положаја особа са инвалидитетом у Републици Србији за период од 2020. до 2024. године</w:t>
      </w:r>
      <w:r>
        <w:rPr>
          <w:rStyle w:val="FootnoteAnchor"/>
          <w:rFonts w:cs="Tahoma" w:ascii="Tahoma" w:hAnsi="Tahoma"/>
          <w:bCs/>
          <w:sz w:val="20"/>
          <w:lang w:val="sr-RS"/>
        </w:rPr>
        <w:footnoteReference w:id="16"/>
      </w:r>
      <w:r>
        <w:rPr>
          <w:rFonts w:cs="Tahoma" w:ascii="Tahoma" w:hAnsi="Tahoma"/>
          <w:sz w:val="20"/>
          <w:lang w:val="sr-RS"/>
        </w:rPr>
        <w:t xml:space="preserve"> представља свеобухватан план усмерен на побољшање социјалног и економског положаја особа са инвалидитетом. Стратегија обухвата уклањање баријера у различитим областима као што су приступачност, запошљавање, образовање, здравствена заштита и социјалне услуге. Њен циљ је да осигура равноправно учешће особа са инвалидитетом у друштву и спречи њихову дискриминацију, подржавајући принципе Конвенције о правима особа са инвалидитетом. Међутим, ова Стратегија је истекла. Закључак ex-post анализе Стратегије је да, иако је остварен известан напредак у областима друштвене инклузије и смањења дискриминације, недостајала је конкретизација циљева и мера, што је отежало евалуацију ефеката, а пандемија COVID-19 додатно је успорила реализацију планираних активности. Предлог Стратегије унапређења положаја особа са инвалидитетом за период 2025–2030. године чија је израда у току наглашава неопходност континуираног унапређења приступачности, деинституционализације, инклузивног образовања, социјалне заштите и економског оснаживања особа са инвалидитетом. За Програм унапређења  социјалне заштите на локалном нивоу, овај документ је релевантан јер захтева развој услуга у заједници, побољшање доступности јавних услуга и системску подршку особама са инвалидитетом, што директно утиче на локални ниво и захтева сарадњу са локалним самоуправама у циљу остваривања инклузивног друштва. </w:t>
      </w:r>
    </w:p>
    <w:p>
      <w:pPr>
        <w:pStyle w:val="Footnote"/>
        <w:jc w:val="both"/>
        <w:rPr>
          <w:rFonts w:ascii="Tahoma" w:hAnsi="Tahoma" w:cs="Tahoma"/>
          <w:bCs/>
          <w:szCs w:val="22"/>
          <w:lang w:val="sr-CS"/>
        </w:rPr>
      </w:pPr>
      <w:r>
        <w:rPr>
          <w:rFonts w:cs="Tahoma" w:ascii="Tahoma" w:hAnsi="Tahoma"/>
          <w:szCs w:val="22"/>
          <w:lang w:val="sr-RS"/>
        </w:rPr>
        <w:t xml:space="preserve">У изради Програма, Радна група руководила се и принципима и приоритетима других релевантних докумената јавних политика, као што су: </w:t>
      </w:r>
      <w:r>
        <w:rPr>
          <w:rFonts w:cs="Tahoma" w:ascii="Tahoma" w:hAnsi="Tahoma"/>
          <w:szCs w:val="22"/>
          <w:lang w:val="sr-CS"/>
        </w:rPr>
        <w:t>Стратегија за спречавање и борбу против родно заснованог насиља према женама и насиља у породици (2021-2025)</w:t>
      </w:r>
      <w:r>
        <w:rPr>
          <w:rStyle w:val="FootnoteAnchor"/>
          <w:rFonts w:cs="Tahoma" w:ascii="Tahoma" w:hAnsi="Tahoma"/>
          <w:szCs w:val="22"/>
          <w:lang w:val="sr-CS"/>
        </w:rPr>
        <w:footnoteReference w:id="17"/>
      </w:r>
      <w:r>
        <w:rPr>
          <w:rFonts w:cs="Tahoma" w:ascii="Tahoma" w:hAnsi="Tahoma"/>
          <w:szCs w:val="22"/>
          <w:lang w:val="sr-CS"/>
        </w:rPr>
        <w:t xml:space="preserve">, </w:t>
      </w:r>
      <w:r>
        <w:rPr>
          <w:rFonts w:cs="Tahoma" w:ascii="Tahoma" w:hAnsi="Tahoma"/>
          <w:bCs/>
          <w:szCs w:val="22"/>
          <w:lang w:val="sr-CS"/>
        </w:rPr>
        <w:t>Стратегија за родну равноправност за период од 2021. до 2030. године</w:t>
      </w:r>
      <w:r>
        <w:rPr>
          <w:rStyle w:val="FootnoteAnchor"/>
          <w:rFonts w:cs="Tahoma" w:ascii="Tahoma" w:hAnsi="Tahoma"/>
          <w:bCs/>
          <w:szCs w:val="22"/>
          <w:lang w:val="sr-CS"/>
        </w:rPr>
        <w:footnoteReference w:id="18"/>
      </w:r>
      <w:r>
        <w:rPr>
          <w:rFonts w:cs="Tahoma" w:ascii="Tahoma" w:hAnsi="Tahoma"/>
          <w:bCs/>
          <w:szCs w:val="22"/>
          <w:lang w:val="sr-CS"/>
        </w:rPr>
        <w:t xml:space="preserve">, </w:t>
      </w:r>
      <w:r>
        <w:rPr>
          <w:rFonts w:cs="Tahoma" w:ascii="Tahoma" w:hAnsi="Tahoma"/>
          <w:szCs w:val="22"/>
          <w:lang w:val="sr-CS"/>
        </w:rPr>
        <w:t>Стратегија за социјално укључивање Рома и Ромкиња у Републици Србији за период 2022–2030. године</w:t>
      </w:r>
      <w:r>
        <w:rPr>
          <w:rStyle w:val="FootnoteAnchor"/>
          <w:rFonts w:cs="Tahoma" w:ascii="Tahoma" w:hAnsi="Tahoma"/>
          <w:szCs w:val="22"/>
          <w:vertAlign w:val="superscript"/>
          <w:lang w:val="sr-CS"/>
        </w:rPr>
        <w:footnoteReference w:id="19"/>
      </w:r>
      <w:r>
        <w:rPr>
          <w:rStyle w:val="None"/>
          <w:rFonts w:cs="Tahoma" w:ascii="Tahoma" w:hAnsi="Tahoma"/>
          <w:szCs w:val="22"/>
          <w:lang w:val="sr-CS"/>
        </w:rPr>
        <w:t xml:space="preserve">, Стратегија </w:t>
      </w:r>
      <w:r>
        <w:rPr>
          <w:rFonts w:cs="Tahoma" w:ascii="Tahoma" w:hAnsi="Tahoma"/>
          <w:bCs/>
          <w:szCs w:val="22"/>
          <w:lang w:val="sr-CS"/>
        </w:rPr>
        <w:t>за младе у Републици Србији за период од 2023. до 2030. године</w:t>
      </w:r>
      <w:r>
        <w:rPr>
          <w:rStyle w:val="FootnoteAnchor"/>
          <w:rFonts w:cs="Tahoma" w:ascii="Tahoma" w:hAnsi="Tahoma"/>
          <w:bCs/>
          <w:szCs w:val="22"/>
          <w:lang w:val="sr-CS"/>
        </w:rPr>
        <w:footnoteReference w:id="20"/>
      </w:r>
      <w:r>
        <w:rPr>
          <w:rFonts w:cs="Tahoma" w:ascii="Tahoma" w:hAnsi="Tahoma"/>
          <w:bCs/>
          <w:szCs w:val="22"/>
          <w:lang w:val="sr-CS"/>
        </w:rPr>
        <w:t>, као и Акциони план политике за младе у Аутономној покрајини Војводини за период 2023-2025</w:t>
      </w:r>
      <w:r>
        <w:rPr>
          <w:rStyle w:val="FootnoteAnchor"/>
          <w:rFonts w:cs="Tahoma" w:ascii="Tahoma" w:hAnsi="Tahoma"/>
          <w:bCs/>
          <w:szCs w:val="22"/>
          <w:lang w:val="sr-CS"/>
        </w:rPr>
        <w:footnoteReference w:id="21"/>
      </w:r>
      <w:r>
        <w:rPr>
          <w:rFonts w:cs="Tahoma" w:ascii="Tahoma" w:hAnsi="Tahoma"/>
          <w:bCs/>
          <w:szCs w:val="22"/>
          <w:lang w:val="sr-CS"/>
        </w:rPr>
        <w:t xml:space="preserve">. </w:t>
      </w:r>
      <w:r>
        <w:rPr>
          <w:rFonts w:cs="Tahoma" w:ascii="Tahoma" w:hAnsi="Tahoma"/>
          <w:szCs w:val="22"/>
          <w:lang w:val="sr-CS"/>
        </w:rPr>
        <w:t>Програм има у виду и друге стратегије Владе Републике Србије,</w:t>
      </w:r>
      <w:r>
        <w:rPr>
          <w:rStyle w:val="FootnoteAnchor"/>
          <w:rFonts w:cs="Tahoma" w:ascii="Tahoma" w:hAnsi="Tahoma"/>
          <w:szCs w:val="22"/>
          <w:vertAlign w:val="superscript"/>
          <w:lang w:val="sr-CS"/>
        </w:rPr>
        <w:footnoteReference w:id="22"/>
      </w:r>
      <w:r>
        <w:rPr>
          <w:sz w:val="24"/>
          <w:szCs w:val="24"/>
          <w:lang w:val="sr-CS"/>
        </w:rPr>
        <w:t xml:space="preserve"> </w:t>
      </w:r>
      <w:r>
        <w:rPr>
          <w:rFonts w:cs="Tahoma" w:ascii="Tahoma" w:hAnsi="Tahoma"/>
          <w:bCs/>
          <w:szCs w:val="22"/>
          <w:lang w:val="sr-CS"/>
        </w:rPr>
        <w:t xml:space="preserve">у областима релевантним за припаднике различитих маргинализованих група. </w:t>
      </w:r>
    </w:p>
    <w:p>
      <w:pPr>
        <w:pStyle w:val="Normal"/>
        <w:spacing w:lineRule="auto" w:line="240" w:before="0" w:after="120"/>
        <w:jc w:val="both"/>
        <w:rPr>
          <w:rFonts w:ascii="Tahoma" w:hAnsi="Tahoma" w:cs="Tahoma"/>
          <w:sz w:val="20"/>
          <w:lang w:val="sr-RS"/>
        </w:rPr>
      </w:pPr>
      <w:r>
        <w:rPr>
          <w:rFonts w:cs="Tahoma" w:ascii="Tahoma" w:hAnsi="Tahoma"/>
          <w:sz w:val="20"/>
          <w:lang w:val="sr-RS"/>
        </w:rPr>
      </w:r>
    </w:p>
    <w:p>
      <w:pPr>
        <w:pStyle w:val="Normal"/>
        <w:spacing w:lineRule="auto" w:line="240" w:before="0" w:after="120"/>
        <w:jc w:val="both"/>
        <w:rPr>
          <w:rFonts w:ascii="Tahoma" w:hAnsi="Tahoma" w:cs="Tahoma"/>
          <w:sz w:val="20"/>
          <w:lang w:val="sr-RS"/>
        </w:rPr>
      </w:pPr>
      <w:r>
        <w:rPr>
          <w:rFonts w:cs="Tahoma" w:ascii="Tahoma" w:hAnsi="Tahoma"/>
          <w:sz w:val="20"/>
          <w:lang w:val="sr-RS"/>
        </w:rPr>
        <w:t xml:space="preserve">Унапређење социјалне заштите и самим тим и социјалног укључивања рањивих група део је глобалне Агенде Уједињених нација </w:t>
      </w:r>
      <w:r>
        <w:rPr>
          <w:sz w:val="23"/>
          <w:szCs w:val="23"/>
          <w:lang w:val="sr-RS"/>
        </w:rPr>
        <w:t xml:space="preserve">за одрживи развој до 2030.  </w:t>
      </w:r>
      <w:r>
        <w:rPr>
          <w:rFonts w:cs="Tahoma" w:ascii="Tahoma" w:hAnsi="Tahoma"/>
          <w:sz w:val="20"/>
          <w:lang w:val="sr-RS"/>
        </w:rPr>
        <w:t xml:space="preserve">Србија је потписник Агенде. године која садржи 17 циљева и 169 потциљева и 228 глобалних индикатора одрживог развоја (ЦОР). Ови циљеви и потциљеви су интегрисани, међусобно нераздвојиви и равномерно обухватају три димензије одрживог развоја: економску, друштвену и еколошку. Принцип да „нико не буде изостављен„ је темељ агенде 2030 и значи да ниједан циљ не треба да се остварује уколико се не остварује за све грађане и грађанке. Имплементацијом овог Програма сматрамо да ћемо допринети достизању постављених индикатора на националном нивоу који се односе на смањење сиромаштва (ЦОР 1) и смањење неједнакости (Циљ 10). </w:t>
      </w:r>
    </w:p>
    <w:p>
      <w:pPr>
        <w:pStyle w:val="Normal"/>
        <w:spacing w:lineRule="auto" w:line="240"/>
        <w:jc w:val="both"/>
        <w:rPr>
          <w:rFonts w:ascii="Tahoma" w:hAnsi="Tahoma" w:cs="Tahoma"/>
          <w:sz w:val="20"/>
          <w:lang w:val="sr-RS"/>
        </w:rPr>
      </w:pPr>
      <w:r>
        <w:rPr>
          <w:rFonts w:cs="Tahoma" w:ascii="Tahoma" w:hAnsi="Tahoma"/>
          <w:sz w:val="20"/>
          <w:lang w:val="sr-RS"/>
        </w:rPr>
      </w:r>
    </w:p>
    <w:p>
      <w:pPr>
        <w:pStyle w:val="Heading3"/>
        <w:numPr>
          <w:ilvl w:val="2"/>
          <w:numId w:val="1"/>
        </w:numPr>
        <w:spacing w:lineRule="auto" w:line="240"/>
        <w:ind w:start="709" w:hanging="720"/>
        <w:rPr>
          <w:rFonts w:ascii="Tahoma" w:hAnsi="Tahoma" w:cs="Tahoma"/>
          <w:color w:val="0070C0"/>
          <w:lang w:val="sr-RS"/>
        </w:rPr>
      </w:pPr>
      <w:bookmarkStart w:id="7" w:name="_Toc188876942"/>
      <w:r>
        <w:rPr>
          <w:rFonts w:cs="Tahoma" w:ascii="Tahoma" w:hAnsi="Tahoma"/>
          <w:color w:val="0070C0"/>
          <w:lang w:val="sr-RS"/>
        </w:rPr>
        <w:t>Правни оквир</w:t>
      </w:r>
      <w:bookmarkEnd w:id="7"/>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before="0" w:after="0"/>
        <w:jc w:val="both"/>
        <w:rPr>
          <w:rFonts w:ascii="Tahoma" w:hAnsi="Tahoma" w:cs="Tahoma"/>
          <w:sz w:val="20"/>
          <w:lang w:val="sr-RS"/>
        </w:rPr>
      </w:pPr>
      <w:r>
        <w:rPr>
          <w:rFonts w:cs="Tahoma" w:ascii="Tahoma" w:hAnsi="Tahoma"/>
          <w:sz w:val="20"/>
          <w:lang w:val="sr-RS"/>
        </w:rPr>
        <w:t>Поред актуелног стратешког оквира, основни правни оквир у области социјалне заштите дефинисан је Законом о социјалној заштити</w:t>
      </w:r>
      <w:r>
        <w:rPr>
          <w:rStyle w:val="FootnoteAnchor"/>
          <w:rFonts w:cs="Tahoma" w:ascii="Tahoma" w:hAnsi="Tahoma"/>
          <w:sz w:val="20"/>
          <w:vertAlign w:val="superscript"/>
        </w:rPr>
        <w:footnoteReference w:id="23"/>
      </w:r>
      <w:r>
        <w:rPr>
          <w:rFonts w:cs="Tahoma" w:ascii="Tahoma" w:hAnsi="Tahoma"/>
          <w:sz w:val="20"/>
          <w:lang w:val="sr-RS"/>
        </w:rPr>
        <w:t>, Законом о финансијској подршци породици са децом</w:t>
      </w:r>
      <w:r>
        <w:rPr>
          <w:rStyle w:val="FootnoteAnchor"/>
          <w:rFonts w:cs="Tahoma" w:ascii="Tahoma" w:hAnsi="Tahoma"/>
          <w:sz w:val="20"/>
          <w:vertAlign w:val="superscript"/>
        </w:rPr>
        <w:footnoteReference w:id="24"/>
      </w:r>
      <w:r>
        <w:rPr>
          <w:rFonts w:cs="Tahoma" w:ascii="Tahoma" w:hAnsi="Tahoma"/>
          <w:sz w:val="20"/>
          <w:lang w:val="sr-RS"/>
        </w:rPr>
        <w:t>, Породичним законом</w:t>
      </w:r>
      <w:r>
        <w:rPr>
          <w:rStyle w:val="FootnoteAnchor"/>
          <w:rFonts w:cs="Tahoma" w:ascii="Tahoma" w:hAnsi="Tahoma"/>
          <w:sz w:val="20"/>
          <w:vertAlign w:val="superscript"/>
        </w:rPr>
        <w:footnoteReference w:id="25"/>
      </w:r>
      <w:r>
        <w:rPr>
          <w:rFonts w:cs="Tahoma" w:ascii="Tahoma" w:hAnsi="Tahoma"/>
          <w:sz w:val="20"/>
          <w:lang w:val="sr-RS"/>
        </w:rPr>
        <w:t>, Законом о социјалној карти</w:t>
      </w:r>
      <w:r>
        <w:rPr>
          <w:rStyle w:val="FootnoteAnchor"/>
          <w:rFonts w:cs="Tahoma" w:ascii="Tahoma" w:hAnsi="Tahoma"/>
          <w:sz w:val="20"/>
          <w:vertAlign w:val="superscript"/>
        </w:rPr>
        <w:footnoteReference w:id="26"/>
      </w:r>
      <w:r>
        <w:rPr>
          <w:rFonts w:cs="Tahoma" w:ascii="Tahoma" w:hAnsi="Tahoma"/>
          <w:sz w:val="20"/>
          <w:lang w:val="sr-RS"/>
        </w:rPr>
        <w:t xml:space="preserve"> и Законом о правима корисника услуга привременог смештаја у социјалн</w:t>
      </w:r>
      <w:r>
        <w:rPr>
          <w:rFonts w:cs="Tahoma" w:ascii="Tahoma" w:hAnsi="Tahoma"/>
          <w:sz w:val="20"/>
        </w:rPr>
        <w:t>oj</w:t>
      </w:r>
      <w:r>
        <w:rPr>
          <w:rFonts w:cs="Tahoma" w:ascii="Tahoma" w:hAnsi="Tahoma"/>
          <w:sz w:val="20"/>
          <w:lang w:val="sr-RS"/>
        </w:rPr>
        <w:t xml:space="preserve"> заштити</w:t>
      </w:r>
      <w:r>
        <w:rPr>
          <w:rStyle w:val="FootnoteAnchor"/>
          <w:rFonts w:cs="Tahoma" w:ascii="Tahoma" w:hAnsi="Tahoma"/>
          <w:sz w:val="20"/>
          <w:vertAlign w:val="superscript"/>
        </w:rPr>
        <w:footnoteReference w:id="27"/>
      </w:r>
      <w:r>
        <w:rPr>
          <w:rFonts w:cs="Tahoma" w:ascii="Tahoma" w:hAnsi="Tahoma"/>
          <w:sz w:val="20"/>
          <w:lang w:val="sr-RS"/>
        </w:rPr>
        <w:t>. Надлежности у овој области деле централни и локални ниво власти. Централни ниво пружа различите облике финансијске подршке и низ услуга, док је у другим сегментима систем социјалне заштите високо децентрализован и већина услуга социјалне заштите је делегирана локалним самоуправама</w:t>
      </w:r>
      <w:r>
        <w:rPr>
          <w:rStyle w:val="FootnoteAnchor"/>
          <w:rFonts w:cs="Tahoma" w:ascii="Tahoma" w:hAnsi="Tahoma"/>
          <w:sz w:val="20"/>
        </w:rPr>
        <w:footnoteReference w:id="28"/>
      </w:r>
      <w:r>
        <w:rPr>
          <w:rFonts w:cs="Tahoma" w:ascii="Tahoma" w:hAnsi="Tahoma"/>
          <w:sz w:val="20"/>
          <w:lang w:val="sr-RS"/>
        </w:rPr>
        <w:t>. Основна мотивација за децентрализацију социјалне заштите је да се адекватно одговори на потребе грађана на нивоу ЈЛС, посебно када су у питању услуге социјалне заштите. Дискриминација је забрањена Уставом Републике Србије, којим је прописано да су пред Уставом и законом сви једнаки, да свако има право на једнаку законску заштиту, без дискриминације, да је забрањена свака дискриминација, непосредна или посредна, по било ком основу, укључујући и психички или физички инвалидитет. Законом</w:t>
      </w:r>
      <w:r>
        <w:rPr>
          <w:rFonts w:cs="Tahoma" w:ascii="Tahoma" w:hAnsi="Tahoma"/>
          <w:b/>
          <w:sz w:val="20"/>
          <w:lang w:val="sr-RS"/>
        </w:rPr>
        <w:t xml:space="preserve"> </w:t>
      </w:r>
      <w:r>
        <w:rPr>
          <w:rFonts w:cs="Tahoma" w:ascii="Tahoma" w:hAnsi="Tahoma"/>
          <w:sz w:val="20"/>
          <w:lang w:val="sr-RS"/>
        </w:rPr>
        <w:t>о забрани дискриминације</w:t>
      </w:r>
      <w:r>
        <w:rPr>
          <w:rStyle w:val="FootnoteAnchor"/>
          <w:rFonts w:cs="Tahoma" w:ascii="Tahoma" w:hAnsi="Tahoma"/>
          <w:sz w:val="20"/>
          <w:vertAlign w:val="superscript"/>
          <w:lang w:val="sr-RS"/>
        </w:rPr>
        <w:footnoteReference w:id="29"/>
      </w:r>
      <w:r>
        <w:rPr>
          <w:rFonts w:cs="Tahoma" w:ascii="Tahoma" w:hAnsi="Tahoma"/>
          <w:sz w:val="20"/>
          <w:lang w:val="sr-RS"/>
        </w:rPr>
        <w:t xml:space="preserve"> уређена је општа забрана дискриминације, облици и случајеви дискриминације и поступак заштите од дискриминације. Веома је значајан и посебан антидискриминациони закон – Закон о спречавању дискриминације особа са инвалидитетом</w:t>
      </w:r>
      <w:r>
        <w:rPr>
          <w:rStyle w:val="FootnoteAnchor"/>
          <w:rFonts w:cs="Tahoma" w:ascii="Tahoma" w:hAnsi="Tahoma"/>
          <w:sz w:val="20"/>
          <w:vertAlign w:val="superscript"/>
          <w:lang w:val="sr-RS"/>
        </w:rPr>
        <w:footnoteReference w:id="30"/>
      </w:r>
      <w:r>
        <w:rPr>
          <w:rFonts w:cs="Tahoma" w:ascii="Tahoma" w:hAnsi="Tahoma"/>
          <w:sz w:val="20"/>
          <w:lang w:val="sr-RS"/>
        </w:rPr>
        <w:t xml:space="preserve"> којим се уређује општи режим забране дискриминације на основу инвалидитета, посебни случајеви дискриминације особа са инвалидитетом, поступак заштите особа изложених дискриминацији на основу инвалидитета, као и мере које се предузимају ради подстицања равноправности и социјалне укључености особа са инвалидитетом. </w:t>
      </w:r>
    </w:p>
    <w:p>
      <w:pPr>
        <w:pStyle w:val="Normal"/>
        <w:spacing w:lineRule="auto" w:line="240" w:before="0" w:after="0"/>
        <w:jc w:val="both"/>
        <w:rPr>
          <w:rFonts w:ascii="Tahoma" w:hAnsi="Tahoma" w:cs="Tahoma"/>
          <w:sz w:val="20"/>
          <w:szCs w:val="20"/>
          <w:lang w:val="sr-RS"/>
        </w:rPr>
      </w:pPr>
      <w:r>
        <w:rPr>
          <w:rFonts w:cs="Tahoma" w:ascii="Tahoma" w:hAnsi="Tahoma"/>
          <w:sz w:val="20"/>
          <w:lang w:val="sr-RS"/>
        </w:rPr>
        <w:t>Позитивно законодавство релевантно за област социјалне политике и заштите у Републици Србији обимно је и обухвата и следеће законе: Закон о социјалном становању</w:t>
      </w:r>
      <w:r>
        <w:rPr>
          <w:rStyle w:val="FootnoteAnchor"/>
          <w:rFonts w:cs="Tahoma" w:ascii="Tahoma" w:hAnsi="Tahoma"/>
          <w:sz w:val="20"/>
          <w:lang w:val="sr-RS"/>
        </w:rPr>
        <w:footnoteReference w:id="31"/>
      </w:r>
      <w:r>
        <w:rPr>
          <w:rFonts w:cs="Tahoma" w:ascii="Tahoma" w:hAnsi="Tahoma"/>
          <w:sz w:val="20"/>
          <w:lang w:val="sr-RS"/>
        </w:rPr>
        <w:t>, Закон о пензијском и инвалидском осигурању</w:t>
      </w:r>
      <w:r>
        <w:rPr>
          <w:rStyle w:val="FootnoteAnchor"/>
          <w:rFonts w:cs="Tahoma" w:ascii="Tahoma" w:hAnsi="Tahoma"/>
          <w:sz w:val="20"/>
          <w:lang w:val="sr-RS"/>
        </w:rPr>
        <w:footnoteReference w:id="32"/>
      </w:r>
      <w:r>
        <w:rPr>
          <w:rFonts w:cs="Tahoma" w:ascii="Tahoma" w:hAnsi="Tahoma"/>
          <w:sz w:val="20"/>
          <w:lang w:val="sr-RS"/>
        </w:rPr>
        <w:t>,Закон о малолетним учиниоцима кривичних дела и кривичноправној заштити малолетних лица</w:t>
      </w:r>
      <w:r>
        <w:rPr>
          <w:rStyle w:val="FootnoteAnchor"/>
          <w:rFonts w:cs="Tahoma" w:ascii="Tahoma" w:hAnsi="Tahoma"/>
          <w:sz w:val="20"/>
          <w:lang w:val="sr-RS"/>
        </w:rPr>
        <w:footnoteReference w:id="33"/>
      </w:r>
      <w:r>
        <w:rPr>
          <w:rFonts w:cs="Tahoma" w:ascii="Tahoma" w:hAnsi="Tahoma"/>
          <w:sz w:val="20"/>
          <w:lang w:val="sr-RS"/>
        </w:rPr>
        <w:t>, Закон о равноправности полова</w:t>
      </w:r>
      <w:r>
        <w:rPr>
          <w:rStyle w:val="FootnoteAnchor"/>
          <w:rFonts w:cs="Tahoma" w:ascii="Tahoma" w:hAnsi="Tahoma"/>
          <w:sz w:val="20"/>
          <w:lang w:val="sr-RS"/>
        </w:rPr>
        <w:footnoteReference w:id="34"/>
      </w:r>
      <w:r>
        <w:rPr>
          <w:rFonts w:cs="Tahoma" w:ascii="Tahoma" w:hAnsi="Tahoma"/>
          <w:sz w:val="20"/>
          <w:lang w:val="sr-RS"/>
        </w:rPr>
        <w:t xml:space="preserve">, </w:t>
      </w:r>
      <w:r>
        <w:rPr>
          <w:rFonts w:cs="Tahoma" w:ascii="Tahoma" w:hAnsi="Tahoma"/>
          <w:sz w:val="20"/>
          <w:szCs w:val="20"/>
          <w:lang w:val="sr-RS"/>
        </w:rPr>
        <w:t>Закон о финансијској подршци породици са децом</w:t>
      </w:r>
      <w:r>
        <w:rPr>
          <w:rStyle w:val="FootnoteAnchor"/>
          <w:rFonts w:cs="Tahoma" w:ascii="Tahoma" w:hAnsi="Tahoma"/>
          <w:sz w:val="20"/>
          <w:szCs w:val="20"/>
        </w:rPr>
        <w:footnoteReference w:id="35"/>
      </w:r>
      <w:r>
        <w:rPr>
          <w:rFonts w:cs="Tahoma" w:ascii="Tahoma" w:hAnsi="Tahoma"/>
          <w:sz w:val="20"/>
          <w:szCs w:val="20"/>
          <w:lang w:val="sr-RS"/>
        </w:rPr>
        <w:t>,</w:t>
      </w:r>
      <w:r>
        <w:rPr>
          <w:rFonts w:cs="Tahoma" w:ascii="Tahoma" w:hAnsi="Tahoma"/>
          <w:sz w:val="20"/>
          <w:szCs w:val="20"/>
          <w:lang w:val="sr-Latn-RS"/>
        </w:rPr>
        <w:t xml:space="preserve"> </w:t>
      </w:r>
      <w:r>
        <w:rPr>
          <w:rFonts w:cs="Tahoma" w:ascii="Tahoma" w:hAnsi="Tahoma"/>
          <w:sz w:val="20"/>
          <w:szCs w:val="20"/>
          <w:lang w:val="sr-RS"/>
        </w:rPr>
        <w:t>Закон о основама система образовања и васпитања;</w:t>
      </w:r>
      <w:r>
        <w:rPr>
          <w:rStyle w:val="FootnoteAnchor"/>
          <w:rFonts w:cs="Tahoma" w:ascii="Tahoma" w:hAnsi="Tahoma"/>
          <w:sz w:val="20"/>
          <w:szCs w:val="20"/>
        </w:rPr>
        <w:footnoteReference w:id="36"/>
      </w:r>
      <w:r>
        <w:rPr>
          <w:rFonts w:cs="Tahoma" w:ascii="Tahoma" w:hAnsi="Tahoma"/>
          <w:sz w:val="20"/>
          <w:szCs w:val="20"/>
          <w:lang w:val="sr-RS"/>
        </w:rPr>
        <w:t>; Закон о предшколском васпитању и образовању;</w:t>
      </w:r>
      <w:r>
        <w:rPr>
          <w:rStyle w:val="FootnoteAnchor"/>
          <w:rFonts w:cs="Tahoma" w:ascii="Tahoma" w:hAnsi="Tahoma"/>
          <w:sz w:val="20"/>
          <w:szCs w:val="20"/>
        </w:rPr>
        <w:footnoteReference w:id="37"/>
      </w:r>
      <w:r>
        <w:rPr>
          <w:rFonts w:cs="Tahoma" w:ascii="Tahoma" w:hAnsi="Tahoma"/>
          <w:sz w:val="20"/>
          <w:szCs w:val="20"/>
          <w:lang w:val="sr-RS"/>
        </w:rPr>
        <w:t>; Закон о основном васпитању и образовању;</w:t>
      </w:r>
      <w:r>
        <w:rPr>
          <w:rStyle w:val="FootnoteAnchor"/>
          <w:rFonts w:cs="Tahoma" w:ascii="Tahoma" w:hAnsi="Tahoma"/>
          <w:sz w:val="20"/>
          <w:szCs w:val="20"/>
        </w:rPr>
        <w:footnoteReference w:id="38"/>
      </w:r>
      <w:r>
        <w:rPr>
          <w:rFonts w:cs="Tahoma" w:ascii="Tahoma" w:hAnsi="Tahoma"/>
          <w:sz w:val="20"/>
          <w:szCs w:val="20"/>
          <w:lang w:val="sr-RS"/>
        </w:rPr>
        <w:t xml:space="preserve"> Закон о средњем образовању и васпитању;</w:t>
      </w:r>
      <w:r>
        <w:rPr>
          <w:rStyle w:val="FootnoteAnchor"/>
          <w:rFonts w:cs="Tahoma" w:ascii="Tahoma" w:hAnsi="Tahoma"/>
          <w:sz w:val="20"/>
          <w:szCs w:val="20"/>
        </w:rPr>
        <w:footnoteReference w:id="39"/>
      </w:r>
      <w:r>
        <w:rPr>
          <w:rFonts w:cs="Tahoma" w:ascii="Tahoma" w:hAnsi="Tahoma"/>
          <w:sz w:val="20"/>
          <w:szCs w:val="20"/>
          <w:lang w:val="sr-RS"/>
        </w:rPr>
        <w:t xml:space="preserve"> Закон о високом образовању;</w:t>
      </w:r>
      <w:r>
        <w:rPr>
          <w:rStyle w:val="FootnoteAnchor"/>
          <w:rFonts w:cs="Tahoma" w:ascii="Tahoma" w:hAnsi="Tahoma"/>
          <w:sz w:val="20"/>
          <w:szCs w:val="20"/>
        </w:rPr>
        <w:footnoteReference w:id="40"/>
      </w:r>
      <w:r>
        <w:rPr>
          <w:rFonts w:cs="Tahoma" w:ascii="Tahoma" w:hAnsi="Tahoma"/>
          <w:sz w:val="20"/>
          <w:szCs w:val="20"/>
          <w:lang w:val="sr-RS"/>
        </w:rPr>
        <w:t>Закон о ученичком и студентском стандарду;</w:t>
      </w:r>
      <w:r>
        <w:rPr>
          <w:rStyle w:val="FootnoteAnchor"/>
          <w:rFonts w:cs="Tahoma" w:ascii="Tahoma" w:hAnsi="Tahoma"/>
          <w:sz w:val="20"/>
          <w:szCs w:val="20"/>
        </w:rPr>
        <w:footnoteReference w:id="41"/>
      </w:r>
      <w:r>
        <w:rPr>
          <w:rFonts w:cs="Tahoma" w:ascii="Tahoma" w:hAnsi="Tahoma"/>
          <w:sz w:val="20"/>
          <w:szCs w:val="20"/>
          <w:lang w:val="sr-RS"/>
        </w:rPr>
        <w:t xml:space="preserve"> Закон о уџбеницима</w:t>
      </w:r>
      <w:r>
        <w:rPr>
          <w:rStyle w:val="FootnoteAnchor"/>
          <w:rFonts w:cs="Tahoma" w:ascii="Tahoma" w:hAnsi="Tahoma"/>
          <w:sz w:val="20"/>
          <w:szCs w:val="20"/>
        </w:rPr>
        <w:footnoteReference w:id="42"/>
      </w:r>
      <w:r>
        <w:rPr>
          <w:rFonts w:cs="Tahoma" w:ascii="Tahoma" w:hAnsi="Tahoma"/>
          <w:sz w:val="20"/>
          <w:szCs w:val="20"/>
          <w:lang w:val="sr-RS"/>
        </w:rPr>
        <w:t>, Закон о запошљавању и осигурању за случај незапослености</w:t>
      </w:r>
      <w:r>
        <w:rPr>
          <w:rStyle w:val="FootnoteAnchor"/>
          <w:rFonts w:cs="Tahoma" w:ascii="Tahoma" w:hAnsi="Tahoma"/>
          <w:sz w:val="20"/>
          <w:szCs w:val="20"/>
        </w:rPr>
        <w:footnoteReference w:id="43"/>
      </w:r>
      <w:r>
        <w:rPr>
          <w:rFonts w:cs="Tahoma" w:ascii="Tahoma" w:hAnsi="Tahoma"/>
          <w:sz w:val="20"/>
          <w:szCs w:val="20"/>
          <w:lang w:val="sr-Latn-RS"/>
        </w:rPr>
        <w:t xml:space="preserve">, </w:t>
      </w:r>
      <w:r>
        <w:rPr>
          <w:rFonts w:cs="Tahoma" w:ascii="Tahoma" w:hAnsi="Tahoma"/>
          <w:sz w:val="20"/>
          <w:szCs w:val="20"/>
          <w:lang w:val="sr-RS"/>
        </w:rPr>
        <w:t>Закон  о здравственој заштити</w:t>
      </w:r>
      <w:r>
        <w:rPr>
          <w:rStyle w:val="FootnoteAnchor"/>
          <w:rFonts w:cs="Tahoma" w:ascii="Tahoma" w:hAnsi="Tahoma"/>
          <w:sz w:val="20"/>
          <w:szCs w:val="20"/>
        </w:rPr>
        <w:footnoteReference w:id="44"/>
      </w:r>
      <w:r>
        <w:rPr>
          <w:rFonts w:cs="Tahoma" w:ascii="Tahoma" w:hAnsi="Tahoma"/>
          <w:sz w:val="20"/>
          <w:szCs w:val="20"/>
          <w:lang w:val="sr-Latn-RS"/>
        </w:rPr>
        <w:t xml:space="preserve">, </w:t>
      </w:r>
      <w:r>
        <w:rPr>
          <w:rFonts w:cs="Tahoma" w:ascii="Tahoma" w:hAnsi="Tahoma"/>
          <w:sz w:val="20"/>
          <w:szCs w:val="20"/>
          <w:lang w:val="sr-RS"/>
        </w:rPr>
        <w:t>Закон о здравственом осигурању</w:t>
      </w:r>
      <w:r>
        <w:rPr>
          <w:rStyle w:val="FootnoteAnchor"/>
          <w:rFonts w:cs="Tahoma" w:ascii="Tahoma" w:hAnsi="Tahoma"/>
          <w:sz w:val="20"/>
          <w:szCs w:val="20"/>
        </w:rPr>
        <w:footnoteReference w:id="45"/>
      </w:r>
      <w:r>
        <w:rPr>
          <w:rFonts w:cs="Tahoma" w:ascii="Tahoma" w:hAnsi="Tahoma"/>
          <w:sz w:val="20"/>
          <w:szCs w:val="20"/>
          <w:lang w:val="sr-Latn-RS"/>
        </w:rPr>
        <w:t xml:space="preserve">, </w:t>
      </w:r>
      <w:r>
        <w:rPr>
          <w:rFonts w:cs="Tahoma" w:ascii="Tahoma" w:hAnsi="Tahoma"/>
          <w:sz w:val="20"/>
          <w:szCs w:val="20"/>
          <w:lang w:val="sr-RS"/>
        </w:rPr>
        <w:t>Закон о јавном здрављу</w:t>
      </w:r>
      <w:r>
        <w:rPr>
          <w:rStyle w:val="FootnoteAnchor"/>
          <w:rFonts w:cs="Tahoma" w:ascii="Tahoma" w:hAnsi="Tahoma"/>
          <w:sz w:val="20"/>
          <w:szCs w:val="20"/>
        </w:rPr>
        <w:footnoteReference w:id="46"/>
      </w:r>
      <w:r>
        <w:rPr>
          <w:rFonts w:cs="Tahoma" w:ascii="Tahoma" w:hAnsi="Tahoma"/>
          <w:sz w:val="20"/>
          <w:szCs w:val="20"/>
          <w:lang w:val="sr-Latn-RS"/>
        </w:rPr>
        <w:t xml:space="preserve">, </w:t>
      </w:r>
      <w:r>
        <w:rPr>
          <w:rFonts w:cs="Tahoma" w:ascii="Tahoma" w:hAnsi="Tahoma"/>
          <w:sz w:val="20"/>
          <w:szCs w:val="20"/>
          <w:lang w:val="sr-RS"/>
        </w:rPr>
        <w:t>Закон о младима</w:t>
      </w:r>
      <w:r>
        <w:rPr>
          <w:rStyle w:val="FootnoteAnchor"/>
          <w:rFonts w:eastAsia="Arial Unicode MS" w:cs="Tahoma" w:ascii="Tahoma" w:hAnsi="Tahoma"/>
          <w:sz w:val="20"/>
          <w:szCs w:val="20"/>
        </w:rPr>
        <w:footnoteReference w:id="47"/>
      </w:r>
      <w:r>
        <w:rPr>
          <w:rFonts w:cs="Tahoma" w:ascii="Tahoma" w:hAnsi="Tahoma"/>
          <w:sz w:val="20"/>
          <w:szCs w:val="20"/>
          <w:lang w:val="sr-Latn-RS"/>
        </w:rPr>
        <w:t xml:space="preserve">, </w:t>
      </w:r>
      <w:r>
        <w:rPr>
          <w:rFonts w:cs="Tahoma" w:ascii="Tahoma" w:hAnsi="Tahoma"/>
          <w:sz w:val="20"/>
          <w:szCs w:val="20"/>
          <w:lang w:val="sr-RS"/>
        </w:rPr>
        <w:t>Кривични законик</w:t>
      </w:r>
      <w:r>
        <w:rPr>
          <w:rStyle w:val="FootnoteAnchor"/>
          <w:rFonts w:cs="Tahoma" w:ascii="Tahoma" w:hAnsi="Tahoma"/>
          <w:sz w:val="20"/>
          <w:szCs w:val="20"/>
        </w:rPr>
        <w:footnoteReference w:id="48"/>
      </w:r>
      <w:r>
        <w:rPr>
          <w:rFonts w:cs="Tahoma" w:ascii="Tahoma" w:hAnsi="Tahoma"/>
          <w:sz w:val="20"/>
          <w:szCs w:val="20"/>
          <w:lang w:val="sr-Latn-RS"/>
        </w:rPr>
        <w:t xml:space="preserve">, </w:t>
      </w:r>
      <w:r>
        <w:rPr>
          <w:rFonts w:cs="Tahoma" w:ascii="Tahoma" w:hAnsi="Tahoma"/>
          <w:sz w:val="20"/>
          <w:szCs w:val="20"/>
          <w:lang w:val="sr-RS"/>
        </w:rPr>
        <w:t>Закон о матичним књигама</w:t>
      </w:r>
      <w:r>
        <w:rPr>
          <w:rStyle w:val="FootnoteAnchor"/>
          <w:rFonts w:cs="Tahoma" w:ascii="Tahoma" w:hAnsi="Tahoma"/>
          <w:sz w:val="20"/>
          <w:szCs w:val="20"/>
        </w:rPr>
        <w:footnoteReference w:id="49"/>
      </w:r>
      <w:r>
        <w:rPr>
          <w:rFonts w:cs="Tahoma" w:ascii="Tahoma" w:hAnsi="Tahoma"/>
          <w:sz w:val="20"/>
          <w:szCs w:val="20"/>
          <w:lang w:val="sr-RS"/>
        </w:rPr>
        <w:t>,</w:t>
      </w:r>
      <w:r>
        <w:rPr>
          <w:rFonts w:cs="Tahoma" w:ascii="Tahoma" w:hAnsi="Tahoma"/>
          <w:sz w:val="20"/>
          <w:szCs w:val="20"/>
          <w:lang w:val="sr-Latn-RS"/>
        </w:rPr>
        <w:t xml:space="preserve"> </w:t>
      </w:r>
      <w:r>
        <w:rPr>
          <w:rFonts w:cs="Tahoma" w:ascii="Tahoma" w:hAnsi="Tahoma"/>
          <w:sz w:val="20"/>
          <w:szCs w:val="20"/>
          <w:lang w:val="sr-RS"/>
        </w:rPr>
        <w:t>З</w:t>
      </w:r>
      <w:r>
        <w:rPr>
          <w:rFonts w:cs="Tahoma" w:ascii="Tahoma" w:hAnsi="Tahoma"/>
          <w:sz w:val="20"/>
          <w:szCs w:val="20"/>
          <w:shd w:fill="FFFFFF" w:val="clear"/>
          <w:lang w:val="sr-RS"/>
        </w:rPr>
        <w:t>акон о бесплатној правној помоћи</w:t>
      </w:r>
      <w:r>
        <w:rPr>
          <w:rStyle w:val="FootnoteAnchor"/>
          <w:rFonts w:cs="Tahoma" w:ascii="Tahoma" w:hAnsi="Tahoma"/>
          <w:sz w:val="20"/>
          <w:szCs w:val="20"/>
          <w:shd w:fill="FFFFFF" w:val="clear"/>
        </w:rPr>
        <w:footnoteReference w:id="50"/>
      </w:r>
      <w:r>
        <w:rPr>
          <w:rFonts w:cs="Tahoma" w:ascii="Tahoma" w:hAnsi="Tahoma"/>
          <w:sz w:val="20"/>
          <w:szCs w:val="20"/>
          <w:shd w:fill="FFFFFF" w:val="clear"/>
          <w:lang w:val="sr-Latn-RS"/>
        </w:rPr>
        <w:t xml:space="preserve">, </w:t>
      </w:r>
      <w:r>
        <w:rPr>
          <w:rFonts w:cs="Tahoma" w:ascii="Tahoma" w:hAnsi="Tahoma"/>
          <w:iCs/>
          <w:sz w:val="20"/>
          <w:szCs w:val="20"/>
          <w:shd w:fill="FFFFFF" w:val="clear"/>
          <w:lang w:val="sr-RS"/>
        </w:rPr>
        <w:t>Закон о правима корисника услуга привременог смештаја у социјалној заштити</w:t>
      </w:r>
      <w:r>
        <w:rPr>
          <w:rStyle w:val="FootnoteAnchor"/>
          <w:rFonts w:cs="Tahoma" w:ascii="Tahoma" w:hAnsi="Tahoma"/>
          <w:iCs/>
          <w:sz w:val="20"/>
          <w:szCs w:val="20"/>
          <w:shd w:fill="FFFFFF" w:val="clear"/>
        </w:rPr>
        <w:footnoteReference w:id="51"/>
      </w:r>
      <w:r>
        <w:rPr>
          <w:rFonts w:cs="Tahoma" w:ascii="Tahoma" w:hAnsi="Tahoma"/>
          <w:sz w:val="20"/>
          <w:szCs w:val="20"/>
          <w:shd w:fill="FFFFFF" w:val="clear"/>
          <w:lang w:val="sr-Latn-RS"/>
        </w:rPr>
        <w:t xml:space="preserve">, </w:t>
      </w:r>
      <w:r>
        <w:rPr>
          <w:rFonts w:cs="Tahoma" w:ascii="Tahoma" w:hAnsi="Tahoma"/>
          <w:iCs/>
          <w:sz w:val="20"/>
          <w:szCs w:val="20"/>
          <w:lang w:val="sr-RS"/>
        </w:rPr>
        <w:t>Закон о управљању миграцијама</w:t>
      </w:r>
      <w:r>
        <w:rPr>
          <w:rStyle w:val="FootnoteAnchor"/>
          <w:rFonts w:cs="Tahoma" w:ascii="Tahoma" w:hAnsi="Tahoma"/>
          <w:sz w:val="20"/>
          <w:szCs w:val="20"/>
          <w:lang w:val="sr-RS"/>
        </w:rPr>
        <w:footnoteReference w:id="52"/>
      </w:r>
      <w:r>
        <w:rPr>
          <w:rFonts w:cs="Tahoma" w:ascii="Tahoma" w:hAnsi="Tahoma"/>
          <w:sz w:val="20"/>
          <w:szCs w:val="20"/>
          <w:lang w:val="sr-RS"/>
        </w:rPr>
        <w:t xml:space="preserve"> и други. </w:t>
      </w:r>
    </w:p>
    <w:p>
      <w:pPr>
        <w:pStyle w:val="Normal"/>
        <w:spacing w:lineRule="auto" w:line="240" w:before="0" w:after="0"/>
        <w:jc w:val="both"/>
        <w:rPr>
          <w:rFonts w:ascii="Times New Roman" w:hAnsi="Times New Roman" w:cs="Times New Roman"/>
          <w:sz w:val="24"/>
          <w:szCs w:val="24"/>
          <w:lang w:val="sr-RS"/>
        </w:rPr>
      </w:pPr>
      <w:r>
        <w:rPr>
          <w:rFonts w:cs="Times New Roman" w:ascii="Times New Roman" w:hAnsi="Times New Roman"/>
          <w:sz w:val="24"/>
          <w:szCs w:val="24"/>
          <w:lang w:val="sr-RS"/>
        </w:rPr>
      </w:r>
    </w:p>
    <w:p>
      <w:pPr>
        <w:pStyle w:val="BodyA"/>
        <w:rPr>
          <w:sz w:val="24"/>
          <w:szCs w:val="24"/>
          <w:shd w:fill="FFFFFF" w:val="clear"/>
        </w:rPr>
      </w:pPr>
      <w:r>
        <w:rPr>
          <w:sz w:val="24"/>
          <w:szCs w:val="24"/>
          <w:shd w:fill="FFFFFF" w:val="clear"/>
        </w:rPr>
      </w:r>
    </w:p>
    <w:p>
      <w:pPr>
        <w:pStyle w:val="BodyA"/>
        <w:rPr>
          <w:sz w:val="24"/>
          <w:szCs w:val="24"/>
          <w:shd w:fill="FFFFFF" w:val="clear"/>
        </w:rPr>
      </w:pPr>
      <w:r>
        <w:rPr>
          <w:sz w:val="24"/>
          <w:szCs w:val="24"/>
          <w:shd w:fill="FFFFFF" w:val="clear"/>
        </w:rPr>
      </w:r>
    </w:p>
    <w:p>
      <w:pPr>
        <w:pStyle w:val="ListParagraph"/>
        <w:numPr>
          <w:ilvl w:val="1"/>
          <w:numId w:val="1"/>
        </w:numPr>
        <w:spacing w:lineRule="auto" w:line="240"/>
        <w:ind w:start="709" w:hanging="720"/>
        <w:jc w:val="both"/>
        <w:outlineLvl w:val="1"/>
        <w:rPr>
          <w:rFonts w:ascii="Tahoma" w:hAnsi="Tahoma" w:cs="Tahoma"/>
          <w:color w:val="0070C0"/>
          <w:sz w:val="28"/>
          <w:lang w:val="sr-RS"/>
        </w:rPr>
      </w:pPr>
      <w:bookmarkStart w:id="8" w:name="_Toc188876943"/>
      <w:r>
        <w:rPr>
          <w:rFonts w:cs="Tahoma" w:ascii="Tahoma" w:hAnsi="Tahoma"/>
          <w:color w:val="0070C0"/>
          <w:sz w:val="28"/>
          <w:lang w:val="sr-RS"/>
        </w:rPr>
        <w:t>Плански документи и правни оквир на локалном нивоу</w:t>
      </w:r>
      <w:bookmarkEnd w:id="8"/>
    </w:p>
    <w:p>
      <w:pPr>
        <w:pStyle w:val="ListParagraph"/>
        <w:spacing w:lineRule="auto" w:line="240" w:before="0" w:after="0"/>
        <w:ind w:start="851" w:hanging="0"/>
        <w:contextualSpacing/>
        <w:jc w:val="both"/>
        <w:rPr>
          <w:rFonts w:ascii="Tahoma" w:hAnsi="Tahoma" w:cs="Tahoma"/>
          <w:color w:val="0070C0"/>
          <w:sz w:val="20"/>
          <w:lang w:val="sr-RS"/>
        </w:rPr>
      </w:pPr>
      <w:r>
        <w:rPr>
          <w:rFonts w:cs="Tahoma" w:ascii="Tahoma" w:hAnsi="Tahoma"/>
          <w:color w:val="0070C0"/>
          <w:sz w:val="20"/>
          <w:lang w:val="sr-RS"/>
        </w:rPr>
      </w:r>
    </w:p>
    <w:p>
      <w:pPr>
        <w:pStyle w:val="Heading3"/>
        <w:numPr>
          <w:ilvl w:val="2"/>
          <w:numId w:val="1"/>
        </w:numPr>
        <w:spacing w:lineRule="auto" w:line="240"/>
        <w:ind w:start="709" w:hanging="720"/>
        <w:rPr>
          <w:rFonts w:ascii="Tahoma" w:hAnsi="Tahoma" w:cs="Tahoma"/>
          <w:color w:val="0070C0"/>
          <w:lang w:val="sr-RS"/>
        </w:rPr>
      </w:pPr>
      <w:bookmarkStart w:id="9" w:name="_Toc188876944"/>
      <w:r>
        <w:rPr>
          <w:rFonts w:cs="Tahoma" w:ascii="Tahoma" w:hAnsi="Tahoma"/>
          <w:color w:val="0070C0"/>
          <w:lang w:val="sr-RS"/>
        </w:rPr>
        <w:t>Плански документи</w:t>
      </w:r>
      <w:bookmarkEnd w:id="9"/>
    </w:p>
    <w:p>
      <w:pPr>
        <w:pStyle w:val="Normal"/>
        <w:tabs>
          <w:tab w:val="clear" w:pos="720"/>
          <w:tab w:val="left" w:pos="4305" w:leader="none"/>
        </w:tabs>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before="0" w:after="0"/>
        <w:jc w:val="both"/>
        <w:rPr>
          <w:rFonts w:ascii="Tahoma" w:hAnsi="Tahoma" w:cs="Tahoma"/>
          <w:sz w:val="20"/>
          <w:lang w:val="sr-RS"/>
        </w:rPr>
      </w:pPr>
      <w:r>
        <w:rPr>
          <w:rFonts w:cs="Tahoma" w:ascii="Tahoma" w:hAnsi="Tahoma"/>
          <w:b/>
          <w:sz w:val="20"/>
          <w:lang w:val="sr-RS"/>
        </w:rPr>
        <w:t>План развоја општине Беочин 2023-2030</w:t>
      </w:r>
      <w:r>
        <w:rPr>
          <w:rStyle w:val="FootnoteAnchor"/>
          <w:rFonts w:cs="Tahoma" w:ascii="Tahoma" w:hAnsi="Tahoma"/>
          <w:sz w:val="20"/>
          <w:lang w:val="sr-RS"/>
        </w:rPr>
        <w:footnoteReference w:id="53"/>
      </w:r>
      <w:r>
        <w:rPr>
          <w:rFonts w:cs="Tahoma" w:ascii="Tahoma" w:hAnsi="Tahoma"/>
          <w:i/>
          <w:sz w:val="20"/>
          <w:lang w:val="sr-RS"/>
        </w:rPr>
        <w:t xml:space="preserve"> (даље: План развоја)</w:t>
      </w:r>
      <w:r>
        <w:rPr>
          <w:rFonts w:cs="Tahoma" w:ascii="Tahoma" w:hAnsi="Tahoma"/>
          <w:sz w:val="20"/>
          <w:lang w:val="sr-RS"/>
        </w:rPr>
        <w:t xml:space="preserve"> као документ развојног планирања садржи све елементе прописане </w:t>
      </w:r>
      <w:r>
        <w:rPr>
          <w:rFonts w:cs="Tahoma" w:ascii="Tahoma" w:hAnsi="Tahoma"/>
          <w:i/>
          <w:sz w:val="20"/>
          <w:lang w:val="sr-RS"/>
        </w:rPr>
        <w:t>Законом о планском систему Републике Србије</w:t>
      </w:r>
      <w:r>
        <w:rPr>
          <w:rFonts w:cs="Tahoma" w:ascii="Tahoma" w:hAnsi="Tahoma"/>
          <w:sz w:val="20"/>
          <w:lang w:val="sr-RS"/>
        </w:rPr>
        <w:t xml:space="preserve">. Анализа стања у области социјалне заштите дата је у најкраћим цртама. Наведено је да је на подручју општине Беочин присутан релативно висок обухват корисника новчане социјалне помоћи, који износи 3,3% укупне популације становника Општине у 2021. години. Када је реч о корисницима дечијег додатка, њихов удео у укупној популацији је висок, износи 19 % у 2021. години. У Плану развоја је наглашено да је развијеност услуга социјалне заштите у надлежности општине Беочин на ниском нивоу. У општини Беочин је током  периода израде Плана пружана само једна услуга – </w:t>
      </w:r>
      <w:r>
        <w:rPr>
          <w:rFonts w:cs="Tahoma" w:ascii="Tahoma" w:hAnsi="Tahoma"/>
          <w:i/>
          <w:sz w:val="20"/>
          <w:lang w:val="sr-RS"/>
        </w:rPr>
        <w:t>Прихватилиште за одрасле/старије</w:t>
      </w:r>
      <w:r>
        <w:rPr>
          <w:rFonts w:cs="Tahoma" w:ascii="Tahoma" w:hAnsi="Tahoma"/>
          <w:sz w:val="20"/>
          <w:lang w:val="sr-RS"/>
        </w:rPr>
        <w:t xml:space="preserve">. На крају анализе стања се констатује да је број корисника социјалне заштите на евиденцији ЦСР  има тренд пада током година и изводи се закључак да је то изузетно важан податак. У </w:t>
      </w:r>
      <w:r>
        <w:rPr>
          <w:rFonts w:cs="Tahoma" w:ascii="Tahoma" w:hAnsi="Tahoma"/>
          <w:sz w:val="20"/>
        </w:rPr>
        <w:t>SWOT</w:t>
      </w:r>
      <w:r>
        <w:rPr>
          <w:rFonts w:cs="Tahoma" w:ascii="Tahoma" w:hAnsi="Tahoma"/>
          <w:sz w:val="20"/>
          <w:lang w:val="sr-RS"/>
        </w:rPr>
        <w:t xml:space="preserve"> анализи једино што би се могло довести у везу са социјалном заштитом је у одељку „</w:t>
      </w:r>
      <w:r>
        <w:rPr>
          <w:rFonts w:cs="Tahoma" w:ascii="Tahoma" w:hAnsi="Tahoma"/>
          <w:i/>
          <w:sz w:val="20"/>
          <w:lang w:val="sr-RS"/>
        </w:rPr>
        <w:t>Претње</w:t>
      </w:r>
      <w:r>
        <w:rPr>
          <w:rFonts w:cs="Tahoma" w:ascii="Tahoma" w:hAnsi="Tahoma"/>
          <w:sz w:val="20"/>
          <w:lang w:val="sr-RS"/>
        </w:rPr>
        <w:t xml:space="preserve">“, у коме се као претње, поред остлог, наводи  старење становништва, гашење предузећа и економска криза као последица пандемије. У поглављу 4 у којом се наводе приоритетни циљеви и мере Плана развоја, утврђени су циљеви и мере за развојни правац „Друштвени развој“. Посебан циљ 7 у оквиру наведног развојног правца је „Успостављање независног система социјалне заштите до 2030. године“. За реализацију наведеног циља предвиђене су следеће мере: </w:t>
      </w:r>
    </w:p>
    <w:p>
      <w:pPr>
        <w:pStyle w:val="Normal"/>
        <w:spacing w:lineRule="auto" w:line="240" w:before="0" w:after="0"/>
        <w:ind w:firstLine="360"/>
        <w:jc w:val="both"/>
        <w:rPr>
          <w:rFonts w:ascii="Tahoma" w:hAnsi="Tahoma" w:cs="Tahoma"/>
          <w:sz w:val="20"/>
          <w:lang w:val="sr-RS"/>
        </w:rPr>
      </w:pPr>
      <w:r>
        <w:rPr>
          <w:rFonts w:cs="Tahoma" w:ascii="Tahoma" w:hAnsi="Tahoma"/>
          <w:sz w:val="20"/>
          <w:lang w:val="sr-RS"/>
        </w:rPr>
        <w:t xml:space="preserve">Мера 7.1: Оснивање Центра за социјални рад Беочин; </w:t>
      </w:r>
    </w:p>
    <w:p>
      <w:pPr>
        <w:pStyle w:val="Normal"/>
        <w:spacing w:lineRule="auto" w:line="240" w:before="0" w:after="0"/>
        <w:ind w:firstLine="360"/>
        <w:jc w:val="both"/>
        <w:rPr>
          <w:rFonts w:ascii="Tahoma" w:hAnsi="Tahoma" w:cs="Tahoma"/>
          <w:sz w:val="20"/>
          <w:lang w:val="sr-RS"/>
        </w:rPr>
      </w:pPr>
      <w:r>
        <w:rPr>
          <w:rFonts w:cs="Tahoma" w:ascii="Tahoma" w:hAnsi="Tahoma"/>
          <w:sz w:val="20"/>
          <w:lang w:val="sr-RS"/>
        </w:rPr>
        <w:t xml:space="preserve">Мера 7.2: Усвајање документа јавне политике у области социјалне заштите; </w:t>
      </w:r>
    </w:p>
    <w:p>
      <w:pPr>
        <w:pStyle w:val="Normal"/>
        <w:spacing w:lineRule="auto" w:line="240" w:before="0" w:after="0"/>
        <w:ind w:firstLine="360"/>
        <w:jc w:val="both"/>
        <w:rPr>
          <w:rFonts w:ascii="Tahoma" w:hAnsi="Tahoma" w:cs="Tahoma"/>
          <w:sz w:val="20"/>
          <w:lang w:val="sr-RS"/>
        </w:rPr>
      </w:pPr>
      <w:r>
        <w:rPr>
          <w:rFonts w:cs="Tahoma" w:ascii="Tahoma" w:hAnsi="Tahoma"/>
          <w:sz w:val="20"/>
          <w:lang w:val="sr-RS"/>
        </w:rPr>
        <w:t>Мера 7.3: Унапређење квалитета постојећих и увођење нових услуга социјалне заштите.</w:t>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Мера којом је предвиђено оснивање Центра за социјални рад Беочин је одговор на питање због чега је у Плану развоја као приоритени циљ предвиђено да се у општини Беочин успостави независан систем социјалне заштите. Наиме, општина Беочин није основала Центар за социјални рад, већ у општини послове из области социјалне заштите врши Одељење Центра за социјални рад Града Новог Сада. Одељење је образовано 1992. године. Као разлог зашто Општина није основала Центар за социјални рад,  већ је за социјалну заштиту надлежно Одељење матичног ЦСР у Новом Саду, наведени су мали број становника у општини, као и близина Новог Сада.  У Плану развоја као образложење за меру која предвиђа оснивање Центра за социјални рад у општини Беочин, наводи се да се корисници због чињенице да је матични ЦСР у Новом Саду суочавају са бројним оганичењима у поступку остваривања својих права. Пошто је мера нефинансијска, за реализацију напред наведене мере нису предвиђена финансијска средства. </w:t>
      </w:r>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before="0" w:after="0"/>
        <w:jc w:val="both"/>
        <w:rPr>
          <w:rFonts w:ascii="Tahoma" w:hAnsi="Tahoma" w:cs="Tahoma"/>
          <w:sz w:val="20"/>
          <w:u w:val="single"/>
          <w:lang w:val="sr-RS"/>
        </w:rPr>
      </w:pPr>
      <w:r>
        <w:rPr>
          <w:rFonts w:cs="Tahoma" w:ascii="Tahoma" w:hAnsi="Tahoma"/>
          <w:sz w:val="20"/>
          <w:lang w:val="sr-RS"/>
        </w:rPr>
        <w:t xml:space="preserve">Када се ради о мери којом је предвиђено усвајање документа јавне политике у области социјалне заштите, у опису мере и активности је наведено да општина Беочин нема усвојен </w:t>
      </w:r>
      <w:r>
        <w:rPr>
          <w:rFonts w:cs="Tahoma" w:ascii="Tahoma" w:hAnsi="Tahoma"/>
          <w:i/>
          <w:sz w:val="20"/>
          <w:lang w:val="sr-RS"/>
        </w:rPr>
        <w:t>Програм унапређења социјалне заштите</w:t>
      </w:r>
      <w:r>
        <w:rPr>
          <w:rFonts w:cs="Tahoma" w:ascii="Tahoma" w:hAnsi="Tahoma"/>
          <w:sz w:val="20"/>
          <w:lang w:val="sr-RS"/>
        </w:rPr>
        <w:t>, нити је у претходном периоду израђивала овакав тип документа. Израда овог планског документа ће бити од велике важности за унапређење система социјалне заштите. Што се тиче мере која се односи на унапређење квалитета постојећих и увођење нових услуга социјалне заштите, у њеном образложењу се каже да општина Беочин има потребу за увођењем нове услуге „Помоћ у кући“ и развој постојеће услуге која још увек није успостављена а то је „Дневни боравак у основној школи за децу предшколског узраста са сметњама у развоју“. Образложење које се односи на услугу „Дневни боравак у основној школи за децу предшколског узраста са сметњама у развоју“ је контрадикторно. Каже се да је услуга постојећа, а да још увек није успостављена. Разлог за то је што је услуга предвиђена актима општине Беочин, али се у тренутку израде Плана још увек није пружала. За реализацију мере предвиђен је износ од 10.000.000,00 динара.</w:t>
      </w:r>
      <w:r>
        <w:rPr>
          <w:rFonts w:cs="Tahoma" w:ascii="Tahoma" w:hAnsi="Tahoma"/>
          <w:sz w:val="20"/>
          <w:lang w:val="sr-Latn-RS"/>
        </w:rPr>
        <w:t xml:space="preserve"> </w:t>
      </w:r>
      <w:r>
        <w:rPr>
          <w:rFonts w:cs="Tahoma" w:ascii="Tahoma" w:hAnsi="Tahoma"/>
          <w:sz w:val="20"/>
          <w:lang w:val="sr-RS"/>
        </w:rPr>
        <w:t>Ово и иначе није услуга коју у том облику предвиђа Закон о социјалној заштити јер су Правилником о ближим условима и стандардима за пружање услуга социјалне заштите</w:t>
      </w:r>
      <w:r>
        <w:rPr>
          <w:rStyle w:val="FootnoteAnchor"/>
          <w:rFonts w:cs="Tahoma" w:ascii="Tahoma" w:hAnsi="Tahoma"/>
          <w:sz w:val="20"/>
          <w:lang w:val="sr-RS"/>
        </w:rPr>
        <w:footnoteReference w:id="54"/>
      </w:r>
      <w:r>
        <w:rPr>
          <w:rFonts w:cs="Tahoma" w:ascii="Tahoma" w:hAnsi="Tahoma"/>
          <w:sz w:val="20"/>
          <w:lang w:val="sr-RS"/>
        </w:rPr>
        <w:t xml:space="preserve"> као циљна група услуге Дневног боравка дефинисани деца и млади са телесним инвалидитетом, односно интелектуалним тешкоћама, који имају потребу за дневном негом и надзором, и подршком у одржању и развијању потенцијала, на начин који не омета њихово школовање; сврха и активности као и структурни и функционални стандарди за ову услугу.</w:t>
      </w:r>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jc w:val="both"/>
        <w:rPr>
          <w:rFonts w:ascii="Tahoma" w:hAnsi="Tahoma" w:cs="Tahoma"/>
          <w:sz w:val="20"/>
          <w:lang w:val="sr-RS"/>
        </w:rPr>
      </w:pPr>
      <w:r>
        <w:rPr>
          <w:rFonts w:cs="Tahoma" w:ascii="Tahoma" w:hAnsi="Tahoma"/>
          <w:sz w:val="20"/>
          <w:lang w:val="sr-RS"/>
        </w:rPr>
        <w:t xml:space="preserve">За реализацију Плана развоја израђен је </w:t>
      </w:r>
      <w:r>
        <w:rPr>
          <w:rFonts w:cs="Tahoma" w:ascii="Tahoma" w:hAnsi="Tahoma"/>
          <w:b/>
          <w:sz w:val="20"/>
          <w:lang w:val="sr-RS"/>
        </w:rPr>
        <w:t xml:space="preserve">нацрт Средњорочног плана општине Беочин за период 2023 – 2025. године. </w:t>
      </w:r>
      <w:r>
        <w:rPr>
          <w:rFonts w:cs="Tahoma" w:ascii="Tahoma" w:hAnsi="Tahoma"/>
          <w:sz w:val="20"/>
          <w:lang w:val="sr-RS"/>
        </w:rPr>
        <w:t xml:space="preserve">Међутим, Средњорочни план до сада није усвојен. У њему су детаљно разрађени циљеви и мере из Плана развоја. Нацрт Средњорочног плана општине Беочин преузима циљеве и мере из Плана развоја општине, и за Општи циљ 2: Развијене услуге социјалне заштите, образовања и културне понуде у складу с потребама и правима свих становника општине Беочин показатељ је „Доступне услуге социјалне заштите, образовања и културне понуде у складу с потребама и правима свих становника општине Беочин“ а јединица мере која је наведена је „Комад“, при чему је као базна вредност наведено 2000 у 2022. години а циљана вредност 2500 у 2025. години. Претпоставља се да се овде мисли на број грађана/корисника. У оквиру њега, Посебан циљ 2.2: Успостављање независног система социјалне заштите до 2030. године са показатељем исхода „Формиран Центар за социјални рад општине Беочине“ при чему се види да до краја 2025. није предвиђено да ће овај индикатор бити  остварен.  Мером  2.2.2:  Усвајање докумената јавне политике у области социјалне заштите предвиђено је да се до краја 2025. усвоји документ, односно Програм унапређења социјалне заштите. У оквиру мере Мера 2.2.3:  Унапређење квалитета постојећих и увођење нових услуга социјалне заштите, као показатељ је наведен број корисника а предвиђени број за 2024 и 2025 је 90. Услуге која су наведене су Помоћ у кући за коју је упланирано по 6.000.000 динара у 2024 и 2025 години и то из сопствених средстава и средства са других нивоа власти, као и  Дневни боравак у основној школи за децу  предшколског узраста са сметњама у развоју за који је упланирано 5.000.000 у 2025. години такође из сопствених средстава и средства са других нивоа власти. </w:t>
      </w:r>
    </w:p>
    <w:p>
      <w:pPr>
        <w:pStyle w:val="Normal"/>
        <w:spacing w:lineRule="auto" w:line="240" w:before="0" w:after="0"/>
        <w:jc w:val="both"/>
        <w:rPr>
          <w:rFonts w:ascii="Tahoma" w:hAnsi="Tahoma" w:cs="Tahoma"/>
          <w:sz w:val="20"/>
          <w:lang w:val="sr-RS"/>
        </w:rPr>
      </w:pPr>
      <w:r>
        <w:rPr>
          <w:rFonts w:cs="Tahoma" w:ascii="Tahoma" w:hAnsi="Tahoma"/>
          <w:b/>
          <w:sz w:val="20"/>
          <w:lang w:val="sr-RS"/>
        </w:rPr>
        <w:t>Када се ради о осталим документима јавне политике</w:t>
      </w:r>
      <w:r>
        <w:rPr>
          <w:rFonts w:cs="Tahoma" w:ascii="Tahoma" w:hAnsi="Tahoma"/>
          <w:sz w:val="20"/>
          <w:lang w:val="sr-RS"/>
        </w:rPr>
        <w:t xml:space="preserve"> (стр</w:t>
      </w:r>
      <w:r>
        <w:rPr>
          <w:rFonts w:cs="Tahoma" w:ascii="Tahoma" w:hAnsi="Tahoma"/>
          <w:sz w:val="20"/>
          <w:lang w:val="sr-Latn-RS"/>
        </w:rPr>
        <w:t>a</w:t>
      </w:r>
      <w:r>
        <w:rPr>
          <w:rFonts w:cs="Tahoma" w:ascii="Tahoma" w:hAnsi="Tahoma"/>
          <w:sz w:val="20"/>
          <w:lang w:val="sr-RS"/>
        </w:rPr>
        <w:t>тегија или локални акциони план) у области социјалне заштите у општини Беочин, раније донета Стратегија за запошљавање припрадника ромске заједнице у општини Беочин за период 2024 – 2020. године и Локални акциони план за унапређење положаја миграната на територији општине Беочин за период 2018 – 2022 године. су истекли. Поред тога, општина има План јавног здравља за период 2022 – 2025 године</w:t>
      </w:r>
      <w:r>
        <w:rPr>
          <w:rStyle w:val="FootnoteAnchor"/>
          <w:sz w:val="20"/>
          <w:lang w:val="sr-RS"/>
        </w:rPr>
        <w:footnoteReference w:id="55"/>
      </w:r>
      <w:r>
        <w:rPr>
          <w:rFonts w:cs="Tahoma" w:ascii="Tahoma" w:hAnsi="Tahoma"/>
          <w:sz w:val="20"/>
          <w:lang w:val="sr-RS"/>
        </w:rPr>
        <w:t xml:space="preserve">. План јавног здравља није усклађен са Законом о планском систему; урађена је детаљна анализа стања али План не садржи ниједан циљ и меру односно не постоји пратећи акциони план, тако да се не могу донети закључци о евентуалним мерама које се тичу интегрисаних услуга и међусекторске сарадње.  </w:t>
      </w:r>
    </w:p>
    <w:p>
      <w:pPr>
        <w:pStyle w:val="Normal"/>
        <w:spacing w:lineRule="auto" w:line="240"/>
        <w:jc w:val="both"/>
        <w:rPr>
          <w:rFonts w:ascii="Tahoma" w:hAnsi="Tahoma" w:cs="Tahoma"/>
          <w:sz w:val="20"/>
          <w:szCs w:val="20"/>
          <w:lang w:val="sr-RS"/>
        </w:rPr>
      </w:pPr>
      <w:r>
        <w:rPr>
          <w:rFonts w:cs="Tahoma" w:ascii="Tahoma" w:hAnsi="Tahoma"/>
          <w:sz w:val="20"/>
          <w:szCs w:val="20"/>
          <w:lang w:val="sr-RS"/>
        </w:rPr>
        <w:t xml:space="preserve">Други документи јавне политике из области социјалне заштите нису усвајани. </w:t>
      </w:r>
    </w:p>
    <w:p>
      <w:pPr>
        <w:pStyle w:val="Normal"/>
        <w:tabs>
          <w:tab w:val="clear" w:pos="720"/>
          <w:tab w:val="left" w:pos="4305" w:leader="none"/>
        </w:tabs>
        <w:spacing w:lineRule="auto" w:line="240"/>
        <w:jc w:val="both"/>
        <w:rPr>
          <w:rFonts w:ascii="Tahoma" w:hAnsi="Tahoma" w:cs="Tahoma"/>
          <w:sz w:val="16"/>
          <w:szCs w:val="18"/>
          <w:lang w:val="sr-RS"/>
        </w:rPr>
      </w:pPr>
      <w:r>
        <w:rPr>
          <w:rFonts w:cs="Tahoma" w:ascii="Tahoma" w:hAnsi="Tahoma"/>
          <w:sz w:val="16"/>
          <w:szCs w:val="18"/>
          <w:lang w:val="sr-RS"/>
        </w:rPr>
      </w:r>
    </w:p>
    <w:p>
      <w:pPr>
        <w:pStyle w:val="Heading3"/>
        <w:numPr>
          <w:ilvl w:val="2"/>
          <w:numId w:val="1"/>
        </w:numPr>
        <w:spacing w:lineRule="auto" w:line="240"/>
        <w:ind w:start="709" w:hanging="720"/>
        <w:rPr>
          <w:rFonts w:ascii="Tahoma" w:hAnsi="Tahoma" w:cs="Tahoma"/>
          <w:color w:val="0070C0"/>
          <w:lang w:val="sr-RS"/>
        </w:rPr>
      </w:pPr>
      <w:bookmarkStart w:id="10" w:name="_Toc188876945"/>
      <w:r>
        <w:rPr>
          <w:rFonts w:cs="Tahoma" w:ascii="Tahoma" w:hAnsi="Tahoma"/>
          <w:color w:val="0070C0"/>
          <w:lang w:val="sr-RS"/>
        </w:rPr>
        <w:t>Правни оквир</w:t>
      </w:r>
      <w:bookmarkEnd w:id="10"/>
      <w:r>
        <w:rPr>
          <w:rFonts w:cs="Tahoma" w:ascii="Tahoma" w:hAnsi="Tahoma"/>
          <w:color w:val="0070C0"/>
          <w:lang w:val="sr-RS"/>
        </w:rPr>
        <w:t xml:space="preserve"> </w:t>
      </w:r>
    </w:p>
    <w:p>
      <w:pPr>
        <w:pStyle w:val="ListParagraph"/>
        <w:numPr>
          <w:ilvl w:val="0"/>
          <w:numId w:val="0"/>
        </w:numPr>
        <w:spacing w:lineRule="auto" w:line="240" w:before="0" w:after="0"/>
        <w:ind w:start="851" w:hanging="0"/>
        <w:contextualSpacing/>
        <w:jc w:val="both"/>
        <w:outlineLvl w:val="1"/>
        <w:rPr>
          <w:rFonts w:ascii="Tahoma" w:hAnsi="Tahoma" w:eastAsia="DejaVu Sans" w:cs="Tahoma" w:eastAsiaTheme="majorEastAsia"/>
          <w:color w:val="0070C0"/>
          <w:szCs w:val="24"/>
          <w:lang w:val="sr-RS"/>
        </w:rPr>
      </w:pPr>
      <w:r>
        <w:rPr>
          <w:rFonts w:eastAsia="DejaVu Sans" w:cs="Tahoma" w:eastAsiaTheme="majorEastAsia" w:ascii="Tahoma" w:hAnsi="Tahoma"/>
          <w:color w:val="0070C0"/>
          <w:szCs w:val="24"/>
          <w:lang w:val="sr-RS"/>
        </w:rPr>
      </w:r>
    </w:p>
    <w:p>
      <w:pPr>
        <w:pStyle w:val="Normal"/>
        <w:spacing w:lineRule="auto" w:line="240" w:before="0" w:after="0"/>
        <w:jc w:val="both"/>
        <w:rPr>
          <w:rFonts w:ascii="Tahoma" w:hAnsi="Tahoma" w:eastAsia="Times New Roman" w:cs="Tahoma"/>
          <w:sz w:val="20"/>
          <w:lang w:val="sr-RS"/>
        </w:rPr>
      </w:pPr>
      <w:r>
        <w:rPr>
          <w:rFonts w:cs="Tahoma" w:ascii="Tahoma" w:hAnsi="Tahoma"/>
          <w:b/>
          <w:color w:val="000000" w:themeColor="text1"/>
          <w:sz w:val="20"/>
          <w:lang w:val="sr-RS"/>
        </w:rPr>
        <w:t>Одлука о социјалној заштити општине Беочин</w:t>
      </w:r>
      <w:r>
        <w:rPr>
          <w:rStyle w:val="FootnoteAnchor"/>
          <w:rFonts w:cs="Tahoma" w:ascii="Tahoma" w:hAnsi="Tahoma"/>
          <w:color w:val="000000" w:themeColor="text1"/>
          <w:sz w:val="20"/>
          <w:lang w:val="sr-RS"/>
        </w:rPr>
        <w:footnoteReference w:id="56"/>
      </w:r>
      <w:r>
        <w:rPr>
          <w:rFonts w:cs="Tahoma" w:ascii="Tahoma" w:hAnsi="Tahoma"/>
          <w:color w:val="000000" w:themeColor="text1"/>
          <w:sz w:val="20"/>
          <w:lang w:val="sr-RS"/>
        </w:rPr>
        <w:t xml:space="preserve"> донета је </w:t>
      </w:r>
      <w:r>
        <w:rPr>
          <w:rFonts w:cs="Tahoma" w:ascii="Tahoma" w:hAnsi="Tahoma"/>
          <w:sz w:val="20"/>
          <w:lang w:val="sr-RS"/>
        </w:rPr>
        <w:t xml:space="preserve">30.12.2024. године. Овом одлуком уређени су врсте, услови и начин обезбеђивања права на материјалну подршку и услуга социјалне заштите које обезбеђује општина Беочин. </w:t>
      </w:r>
      <w:bookmarkStart w:id="11" w:name="_Toc162820145"/>
      <w:r>
        <w:rPr>
          <w:rFonts w:cs="Tahoma" w:ascii="Tahoma" w:hAnsi="Tahoma"/>
          <w:sz w:val="20"/>
          <w:lang w:val="sr-RS"/>
        </w:rPr>
        <w:t xml:space="preserve">Основна права укључују дневне услуге у заједници, и то помоћ у кући и услуге личног пратиоца. Поред тога, регулишу се мере материјалне подршке укључујући једнократне новчане помоћи, помоћ за опрему корисника за смештај у установу социјалне заштите или другу породицу, интервентну једнократну помоћ, накнаде трошкова сахране, и ванредне новчане помоћи у случајевима хитне социјалне угрожености. </w:t>
      </w:r>
      <w:r>
        <w:rPr>
          <w:rFonts w:eastAsia="Times New Roman" w:cs="Tahoma" w:ascii="Tahoma" w:hAnsi="Tahoma"/>
          <w:bCs/>
          <w:sz w:val="20"/>
          <w:lang w:val="sr-RS"/>
        </w:rPr>
        <w:t xml:space="preserve">Утврђивање цене услуге социјалне заштите врши се на основу методологије формирања цене услуге коју доноси Скупштина општине.   </w:t>
      </w:r>
      <w:r>
        <w:rPr>
          <w:rFonts w:eastAsia="Times New Roman" w:cs="Tahoma" w:ascii="Tahoma" w:hAnsi="Tahoma"/>
          <w:sz w:val="20"/>
          <w:lang w:val="sr-RS"/>
        </w:rPr>
        <w:t>Методологија</w:t>
      </w:r>
      <w:r>
        <w:rPr>
          <w:rFonts w:eastAsia="Times New Roman" w:cs="Tahoma" w:ascii="Tahoma" w:hAnsi="Tahoma"/>
          <w:sz w:val="20"/>
          <w:lang w:val="sr-Latn-RS"/>
        </w:rPr>
        <w:t xml:space="preserve"> </w:t>
      </w:r>
      <w:r>
        <w:rPr>
          <w:rFonts w:eastAsia="Times New Roman" w:cs="Tahoma" w:ascii="Tahoma" w:hAnsi="Tahoma"/>
          <w:sz w:val="20"/>
          <w:lang w:val="sr-RS"/>
        </w:rPr>
        <w:t>формирања цене услуга социјалне заштите садржи критеријуме и мерила за утврђивање цене услуга социјалне заштите које обезбеђује општина Беочин. Цена услуга социјалне заштите превиђене овом Одлуком, које пружа установа социјалне заштите коју је основала општина Беочин, утврђује се одлуком Скупштине општине. Цена услуга социјалне заштите утврђује се најмање једанпут годишње применом методологије формирања цене услуга из става 1 овог члана.</w:t>
      </w:r>
      <w:r>
        <w:rPr>
          <w:rFonts w:cs="Tahoma" w:ascii="Tahoma" w:hAnsi="Tahoma"/>
          <w:sz w:val="20"/>
          <w:lang w:val="sr-RS"/>
        </w:rPr>
        <w:t xml:space="preserve"> </w:t>
      </w:r>
      <w:r>
        <w:rPr>
          <w:rFonts w:eastAsia="Times New Roman" w:cs="Tahoma" w:ascii="Tahoma" w:hAnsi="Tahoma"/>
          <w:sz w:val="20"/>
          <w:lang w:val="sr-RS"/>
        </w:rPr>
        <w:t>Критеријуми и мерила из претходног става примењују се у структури цене услуга социјалне заштите које Општина набавља у поступку јавне набавке</w:t>
      </w:r>
      <w:r>
        <w:rPr>
          <w:rFonts w:eastAsia="Times New Roman" w:cs="Tahoma" w:ascii="Tahoma" w:hAnsi="Tahoma"/>
          <w:bCs/>
          <w:sz w:val="20"/>
          <w:lang w:val="sr-RS"/>
        </w:rPr>
        <w:t xml:space="preserve">. </w:t>
      </w:r>
      <w:r>
        <w:rPr>
          <w:rFonts w:eastAsia="Times New Roman" w:cs="Tahoma" w:ascii="Tahoma" w:hAnsi="Tahoma"/>
          <w:sz w:val="20"/>
          <w:lang w:val="sr-RS"/>
        </w:rPr>
        <w:t>У зависности од социјално-економског статуса корисника, плаћање услуге може бити: - у целости из средстава корисника, његовог сродника или трећег лица, у складу са одредбама Закона о социјалној заштити, - уз делимично учешће корисника, његовог сродника, трећег лица и буџета јединице локалне самоуправе и - у целости из буџета општине Беочин. Корисник учествује у плаћању услуге у складу са актом</w:t>
      </w:r>
      <w:r>
        <w:rPr>
          <w:rFonts w:eastAsia="Times New Roman" w:cs="Tahoma" w:ascii="Tahoma" w:hAnsi="Tahoma"/>
          <w:sz w:val="20"/>
          <w:lang w:val="sr-Latn-RS"/>
        </w:rPr>
        <w:t xml:space="preserve"> o </w:t>
      </w:r>
      <w:r>
        <w:rPr>
          <w:rFonts w:eastAsia="Times New Roman" w:cs="Tahoma" w:ascii="Tahoma" w:hAnsi="Tahoma"/>
          <w:sz w:val="20"/>
          <w:lang w:val="sr-RS"/>
        </w:rPr>
        <w:t xml:space="preserve">методологији формирања цене услуга. </w:t>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Одлука такође предвиђа развој иновативних и међусекторских услуга, у складу са локалним потребама, и утврђује методологију за формирање цена услуга социјалне заштите. Центар за социјални рад је задужен за спровођење ових права, укључујући одлучивање, евиденцију и извештавање. </w:t>
      </w:r>
    </w:p>
    <w:p>
      <w:pPr>
        <w:pStyle w:val="Normal"/>
        <w:widowControl w:val="false"/>
        <w:spacing w:lineRule="auto" w:line="240" w:before="0" w:after="0"/>
        <w:jc w:val="both"/>
        <w:rPr>
          <w:rFonts w:ascii="Tahoma" w:hAnsi="Tahoma" w:cs="Tahoma"/>
          <w:b/>
          <w:b/>
          <w:bCs/>
          <w:sz w:val="20"/>
          <w:lang w:val="sr-RS"/>
        </w:rPr>
      </w:pPr>
      <w:r>
        <w:rPr>
          <w:rFonts w:cs="Tahoma" w:ascii="Tahoma" w:hAnsi="Tahoma"/>
          <w:b/>
          <w:bCs/>
          <w:sz w:val="20"/>
          <w:lang w:val="sr-RS"/>
        </w:rPr>
        <w:t>Правилници којима је регулисано обезбеђивање услуга социјалне заштите</w:t>
      </w:r>
      <w:bookmarkEnd w:id="11"/>
      <w:r>
        <w:rPr>
          <w:rFonts w:cs="Tahoma" w:ascii="Tahoma" w:hAnsi="Tahoma"/>
          <w:b/>
          <w:bCs/>
          <w:sz w:val="20"/>
          <w:lang w:val="sr-RS"/>
        </w:rPr>
        <w:t xml:space="preserve">. </w:t>
      </w:r>
    </w:p>
    <w:p>
      <w:pPr>
        <w:pStyle w:val="Normal"/>
        <w:spacing w:lineRule="auto" w:line="240" w:before="0" w:after="0"/>
        <w:jc w:val="both"/>
        <w:rPr>
          <w:rFonts w:ascii="Tahoma" w:hAnsi="Tahoma" w:cs="Tahoma"/>
          <w:sz w:val="20"/>
          <w:lang w:val="sr-RS"/>
        </w:rPr>
      </w:pPr>
      <w:r>
        <w:rPr>
          <w:rFonts w:cs="Tahoma" w:ascii="Tahoma" w:hAnsi="Tahoma"/>
          <w:sz w:val="20"/>
          <w:lang w:val="sr-RS"/>
        </w:rPr>
        <w:t>Скупштина општине Беочин је на истој седници 30.12.204. године усвојила и друга нормативна акта којима се регилише обезбеђивање и пружање услуга социјалне заштите, и све су објављене у Службеном листу општине бр. 2</w:t>
      </w:r>
      <w:r>
        <w:rPr>
          <w:rFonts w:cs="Tahoma" w:ascii="Tahoma" w:hAnsi="Tahoma"/>
          <w:sz w:val="20"/>
          <w:lang w:val="sr-Latn-RS"/>
        </w:rPr>
        <w:t>5</w:t>
      </w:r>
      <w:r>
        <w:rPr>
          <w:rFonts w:cs="Tahoma" w:ascii="Tahoma" w:hAnsi="Tahoma"/>
          <w:sz w:val="20"/>
          <w:lang w:val="sr-RS"/>
        </w:rPr>
        <w:t xml:space="preserve">/2024: </w:t>
      </w:r>
    </w:p>
    <w:p>
      <w:pPr>
        <w:pStyle w:val="ListParagraph"/>
        <w:numPr>
          <w:ilvl w:val="0"/>
          <w:numId w:val="12"/>
        </w:numPr>
        <w:spacing w:lineRule="auto" w:line="240" w:before="0" w:after="0"/>
        <w:contextualSpacing/>
        <w:jc w:val="both"/>
        <w:rPr>
          <w:rFonts w:ascii="Tahoma" w:hAnsi="Tahoma" w:cs="Tahoma"/>
          <w:sz w:val="20"/>
          <w:lang w:val="sr-RS"/>
        </w:rPr>
      </w:pPr>
      <w:r>
        <w:rPr>
          <w:rFonts w:cs="Tahoma" w:ascii="Tahoma" w:hAnsi="Tahoma"/>
          <w:sz w:val="20"/>
          <w:lang w:val="sr-RS"/>
        </w:rPr>
        <w:t>Одлука о методологији формирања цене услуга социјалне заштите за општину Беочин;</w:t>
      </w:r>
    </w:p>
    <w:p>
      <w:pPr>
        <w:pStyle w:val="ListParagraph"/>
        <w:numPr>
          <w:ilvl w:val="0"/>
          <w:numId w:val="12"/>
        </w:numPr>
        <w:spacing w:lineRule="auto" w:line="240" w:before="0" w:after="0"/>
        <w:contextualSpacing/>
        <w:jc w:val="both"/>
        <w:rPr>
          <w:rFonts w:ascii="Tahoma" w:hAnsi="Tahoma" w:cs="Tahoma"/>
          <w:sz w:val="20"/>
          <w:lang w:val="sr-RS"/>
        </w:rPr>
      </w:pPr>
      <w:r>
        <w:rPr>
          <w:rFonts w:cs="Tahoma" w:ascii="Tahoma" w:hAnsi="Tahoma"/>
          <w:sz w:val="20"/>
          <w:lang w:val="sr-RS"/>
        </w:rPr>
        <w:t>Одлука о обезбеђивању и пружању услуге лични пратилац детета;</w:t>
      </w:r>
    </w:p>
    <w:p>
      <w:pPr>
        <w:pStyle w:val="ListParagraph"/>
        <w:numPr>
          <w:ilvl w:val="0"/>
          <w:numId w:val="12"/>
        </w:numPr>
        <w:spacing w:lineRule="auto" w:line="240" w:before="0" w:after="0"/>
        <w:contextualSpacing/>
        <w:jc w:val="both"/>
        <w:rPr>
          <w:rFonts w:ascii="Tahoma" w:hAnsi="Tahoma" w:cs="Tahoma"/>
          <w:sz w:val="20"/>
          <w:lang w:val="sr-RS"/>
        </w:rPr>
      </w:pPr>
      <w:r>
        <w:rPr>
          <w:rFonts w:cs="Tahoma" w:ascii="Tahoma" w:hAnsi="Tahoma"/>
          <w:sz w:val="20"/>
          <w:lang w:val="sr-RS"/>
        </w:rPr>
        <w:t>Одлука о обезбеђивању и пружању услуге помоћ у кући;  </w:t>
      </w:r>
    </w:p>
    <w:p>
      <w:pPr>
        <w:pStyle w:val="ListParagraph"/>
        <w:numPr>
          <w:ilvl w:val="0"/>
          <w:numId w:val="12"/>
        </w:numPr>
        <w:spacing w:lineRule="auto" w:line="240" w:before="0" w:after="0"/>
        <w:contextualSpacing/>
        <w:jc w:val="both"/>
        <w:rPr>
          <w:rFonts w:ascii="Tahoma" w:hAnsi="Tahoma" w:cs="Tahoma"/>
          <w:sz w:val="20"/>
          <w:lang w:val="sr-RS"/>
        </w:rPr>
      </w:pPr>
      <w:r>
        <w:rPr>
          <w:rFonts w:cs="Tahoma" w:ascii="Tahoma" w:hAnsi="Tahoma"/>
          <w:sz w:val="20"/>
          <w:lang w:val="sr-RS"/>
        </w:rPr>
        <w:t>Одлука о учешћу корисника у цени услуге социјалне заштите коју пружа општина Беочин.</w:t>
      </w:r>
    </w:p>
    <w:p>
      <w:pPr>
        <w:pStyle w:val="Normal"/>
        <w:spacing w:lineRule="auto" w:line="240"/>
        <w:rPr>
          <w:rFonts w:ascii="Tahoma" w:hAnsi="Tahoma" w:cs="Tahoma"/>
          <w:b/>
          <w:b/>
          <w:bCs/>
          <w:sz w:val="20"/>
          <w:lang w:val="sr-RS"/>
        </w:rPr>
      </w:pPr>
      <w:r>
        <w:rPr>
          <w:rFonts w:cs="Tahoma" w:ascii="Tahoma" w:hAnsi="Tahoma"/>
          <w:b/>
          <w:bCs/>
          <w:sz w:val="20"/>
          <w:lang w:val="sr-RS"/>
        </w:rPr>
        <w:t xml:space="preserve"> </w:t>
      </w:r>
    </w:p>
    <w:p>
      <w:pPr>
        <w:pStyle w:val="Normal"/>
        <w:spacing w:lineRule="auto" w:line="240"/>
        <w:rPr>
          <w:rFonts w:ascii="Tahoma" w:hAnsi="Tahoma" w:cs="Tahoma"/>
          <w:b/>
          <w:b/>
          <w:bCs/>
          <w:sz w:val="20"/>
          <w:lang w:val="sr-RS"/>
        </w:rPr>
      </w:pPr>
      <w:bookmarkStart w:id="12" w:name="_Toc162820146"/>
      <w:r>
        <w:rPr>
          <w:rFonts w:cs="Tahoma" w:ascii="Tahoma" w:hAnsi="Tahoma"/>
          <w:b/>
          <w:bCs/>
          <w:sz w:val="20"/>
          <w:lang w:val="sr-RS"/>
        </w:rPr>
        <w:t>Друга релевантна нормативна акта</w:t>
      </w:r>
      <w:bookmarkEnd w:id="12"/>
    </w:p>
    <w:p>
      <w:pPr>
        <w:pStyle w:val="Normal"/>
        <w:spacing w:lineRule="auto" w:line="240" w:before="0" w:after="0"/>
        <w:jc w:val="both"/>
        <w:rPr>
          <w:rFonts w:ascii="Tahoma" w:hAnsi="Tahoma" w:cs="Tahoma"/>
          <w:iCs/>
          <w:sz w:val="20"/>
          <w:szCs w:val="24"/>
          <w:lang w:val="sr-RS"/>
        </w:rPr>
      </w:pPr>
      <w:r>
        <w:rPr>
          <w:rFonts w:cs="Tahoma" w:ascii="Tahoma" w:hAnsi="Tahoma"/>
          <w:iCs/>
          <w:sz w:val="20"/>
          <w:szCs w:val="24"/>
          <w:lang w:val="sr-RS"/>
        </w:rPr>
        <w:t>Општина Беочин у оквиру Програма социјалне и дечије заштите из Програмске активности подршка деци и породици са децом</w:t>
      </w:r>
      <w:r>
        <w:rPr>
          <w:rFonts w:cs="Tahoma" w:ascii="Tahoma" w:hAnsi="Tahoma"/>
          <w:iCs/>
          <w:color w:val="FF0000"/>
          <w:sz w:val="20"/>
          <w:szCs w:val="24"/>
          <w:lang w:val="sr-RS"/>
        </w:rPr>
        <w:t xml:space="preserve"> </w:t>
      </w:r>
      <w:r>
        <w:rPr>
          <w:rFonts w:cs="Tahoma" w:ascii="Tahoma" w:hAnsi="Tahoma"/>
          <w:iCs/>
          <w:sz w:val="20"/>
          <w:szCs w:val="24"/>
          <w:lang w:val="sr-RS"/>
        </w:rPr>
        <w:t xml:space="preserve">финансира бесплатан  вртић за децу укључену у предшколску установу, а Одлуком о регресирању трошкова превоза за ученике основних и средњих школа и студенте финансира превоз ученика и студената са територије општине укључујући трошкове превоза деце која на основу мишљења ИРК путују на третмане у ШОСО „Милан Петровић“ у Новом Саду.  </w:t>
      </w:r>
    </w:p>
    <w:p>
      <w:pPr>
        <w:pStyle w:val="Normal"/>
        <w:spacing w:lineRule="auto" w:line="240" w:before="240" w:after="0"/>
        <w:jc w:val="both"/>
        <w:rPr>
          <w:rFonts w:ascii="Tahoma" w:hAnsi="Tahoma" w:cs="Tahoma"/>
          <w:sz w:val="20"/>
          <w:lang w:val="sr-RS"/>
        </w:rPr>
      </w:pPr>
      <w:r>
        <w:rPr>
          <w:rFonts w:cs="Tahoma" w:ascii="Tahoma" w:hAnsi="Tahoma"/>
          <w:sz w:val="20"/>
          <w:szCs w:val="24"/>
          <w:lang w:val="sr-RS"/>
        </w:rPr>
        <w:t xml:space="preserve">Решењем начелника Општинске управе од 24.02.2021. године именована је </w:t>
      </w:r>
      <w:r>
        <w:rPr>
          <w:rFonts w:cs="Tahoma" w:ascii="Tahoma" w:hAnsi="Tahoma"/>
          <w:b/>
          <w:sz w:val="20"/>
          <w:szCs w:val="24"/>
          <w:lang w:val="sr-RS"/>
        </w:rPr>
        <w:t>Комисија за процену додатне образовне, здравствене и социјалне подршке деци и ученицима</w:t>
      </w:r>
      <w:r>
        <w:rPr>
          <w:rFonts w:cs="Tahoma" w:ascii="Tahoma" w:hAnsi="Tahoma"/>
          <w:sz w:val="20"/>
          <w:szCs w:val="24"/>
          <w:lang w:val="sr-RS"/>
        </w:rPr>
        <w:t>.</w:t>
      </w:r>
      <w:r>
        <w:rPr>
          <w:rFonts w:cs="Tahoma" w:ascii="Tahoma" w:hAnsi="Tahoma"/>
          <w:sz w:val="20"/>
          <w:lang w:val="sr-RS"/>
        </w:rPr>
        <w:t xml:space="preserve">  Број и структура чланова Комисије у складу су са Правилником о додатној образовној, здравственој и социјалној подршци детету, ученику и одраслом, који и предвиђа да Kомисију као радно тело образује орган јединице локалне самоуправе надлежан за послове друштвених делатности у складу са законом којим се уређују основе система образовања и васпитања</w:t>
      </w:r>
      <w:r>
        <w:rPr>
          <w:rStyle w:val="FootnoteAnchor"/>
          <w:rFonts w:cs="Tahoma" w:ascii="Tahoma" w:hAnsi="Tahoma"/>
          <w:sz w:val="20"/>
          <w:lang w:val="sr-RS"/>
        </w:rPr>
        <w:footnoteReference w:id="57"/>
      </w:r>
      <w:r>
        <w:rPr>
          <w:rFonts w:cs="Tahoma" w:ascii="Tahoma" w:hAnsi="Tahoma"/>
          <w:sz w:val="20"/>
          <w:lang w:val="sr-RS"/>
        </w:rPr>
        <w:t xml:space="preserve">. Чланови Комисије су педијатар, психолог, социјални радник и дефектолог, а за Координатора комисије </w:t>
      </w:r>
      <w:r>
        <w:rPr>
          <w:rFonts w:cs="Tahoma" w:ascii="Tahoma" w:hAnsi="Tahoma"/>
          <w:sz w:val="20"/>
          <w:lang w:val="sr-RS" w:eastAsia="sr-Latn-RS"/>
        </w:rPr>
        <w:t xml:space="preserve">именован је руководилац Одељења за имовинске, опште и заједничке послове. </w:t>
      </w:r>
      <w:r>
        <w:rPr>
          <w:rFonts w:cs="Tahoma" w:ascii="Tahoma" w:hAnsi="Tahoma"/>
          <w:sz w:val="20"/>
          <w:lang w:val="sr-RS"/>
        </w:rPr>
        <w:t xml:space="preserve">Решењем је дефинисано да Комисија има мандат од 4 године као и накнада по извршеној процени. Решењем није ближе регулисан начин рад Комисије; не садржи одредбе које се тичу описа послова, нити су дефинисана задужења чланова и координатора комисије. Комисија има Пословник о раду који ближе регулише ова питања. </w:t>
      </w:r>
    </w:p>
    <w:p>
      <w:pPr>
        <w:pStyle w:val="Normal"/>
        <w:spacing w:lineRule="auto" w:line="240"/>
        <w:ind w:start="360" w:hanging="0"/>
        <w:rPr>
          <w:sz w:val="20"/>
          <w:lang w:val="sr-RS"/>
        </w:rPr>
      </w:pPr>
      <w:r>
        <w:rPr>
          <w:sz w:val="20"/>
          <w:lang w:val="sr-RS"/>
        </w:rPr>
      </w:r>
    </w:p>
    <w:p>
      <w:pPr>
        <w:pStyle w:val="Heading1"/>
        <w:numPr>
          <w:ilvl w:val="0"/>
          <w:numId w:val="1"/>
        </w:numPr>
        <w:spacing w:lineRule="auto" w:line="240"/>
        <w:ind w:start="426" w:hanging="360"/>
        <w:rPr>
          <w:rFonts w:ascii="Tahoma" w:hAnsi="Tahoma" w:cs="Tahoma"/>
          <w:b/>
          <w:b/>
          <w:szCs w:val="28"/>
          <w:lang w:val="sr-RS"/>
        </w:rPr>
      </w:pPr>
      <w:bookmarkStart w:id="13" w:name="_Toc188876946"/>
      <w:r>
        <w:rPr>
          <w:rFonts w:cs="Tahoma" w:ascii="Tahoma" w:hAnsi="Tahoma"/>
          <w:b/>
          <w:szCs w:val="28"/>
          <w:lang w:val="sr-RS"/>
        </w:rPr>
        <w:t>Опис постојећег стања са анализом проблема и жељених промена</w:t>
      </w:r>
      <w:bookmarkEnd w:id="13"/>
    </w:p>
    <w:p>
      <w:pPr>
        <w:pStyle w:val="Normal"/>
        <w:spacing w:lineRule="auto" w:line="240"/>
        <w:rPr>
          <w:rFonts w:ascii="Tahoma" w:hAnsi="Tahoma" w:cs="Tahoma"/>
          <w:sz w:val="20"/>
          <w:lang w:val="sr-RS"/>
        </w:rPr>
      </w:pPr>
      <w:r>
        <w:rPr>
          <w:rFonts w:cs="Tahoma" w:ascii="Tahoma" w:hAnsi="Tahoma"/>
          <w:sz w:val="20"/>
          <w:lang w:val="sr-RS"/>
        </w:rPr>
      </w:r>
    </w:p>
    <w:p>
      <w:pPr>
        <w:pStyle w:val="Heading2"/>
        <w:numPr>
          <w:ilvl w:val="1"/>
          <w:numId w:val="1"/>
        </w:numPr>
        <w:spacing w:lineRule="auto" w:line="240"/>
        <w:ind w:start="993" w:hanging="633"/>
        <w:rPr>
          <w:rFonts w:ascii="Tahoma" w:hAnsi="Tahoma" w:cs="Tahoma"/>
          <w:sz w:val="28"/>
          <w:lang w:val="sr-RS"/>
        </w:rPr>
      </w:pPr>
      <w:bookmarkStart w:id="14" w:name="_Toc188876947"/>
      <w:r>
        <w:rPr>
          <w:rFonts w:cs="Tahoma" w:ascii="Tahoma" w:hAnsi="Tahoma"/>
          <w:sz w:val="28"/>
          <w:szCs w:val="28"/>
          <w:lang w:val="sr-RS"/>
        </w:rPr>
        <w:t xml:space="preserve">Кључни налази </w:t>
      </w:r>
      <w:r>
        <w:rPr>
          <w:rFonts w:cs="Tahoma" w:ascii="Tahoma" w:hAnsi="Tahoma"/>
          <w:i/>
          <w:iCs/>
          <w:sz w:val="28"/>
          <w:szCs w:val="28"/>
          <w:lang w:val="sr-RS"/>
        </w:rPr>
        <w:t>ex-post</w:t>
      </w:r>
      <w:r>
        <w:rPr>
          <w:rFonts w:cs="Tahoma" w:ascii="Tahoma" w:hAnsi="Tahoma"/>
          <w:sz w:val="28"/>
          <w:szCs w:val="28"/>
          <w:lang w:val="sr-RS"/>
        </w:rPr>
        <w:t xml:space="preserve"> анализе претходног планског документа у области социјалне заштите</w:t>
      </w:r>
      <w:bookmarkEnd w:id="14"/>
    </w:p>
    <w:p>
      <w:pPr>
        <w:pStyle w:val="Normal"/>
        <w:spacing w:lineRule="auto" w:line="240" w:before="0" w:after="0"/>
        <w:jc w:val="both"/>
        <w:rPr>
          <w:rFonts w:ascii="Tahoma" w:hAnsi="Tahoma" w:cs="Tahoma"/>
          <w:sz w:val="20"/>
          <w:szCs w:val="20"/>
          <w:lang w:val="sr-RS"/>
        </w:rPr>
      </w:pPr>
      <w:r>
        <w:rPr>
          <w:rFonts w:cs="Tahoma" w:ascii="Tahoma" w:hAnsi="Tahoma"/>
          <w:sz w:val="20"/>
          <w:szCs w:val="20"/>
          <w:lang w:val="sr-RS"/>
        </w:rPr>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Општинa Беочин нема претходни документ јавне политике у области социјалне заштите. Планом развоја је, како је описано у поглављу о планском оквиру на локалном нивоу, дефинисан је Приоритетни циљ 7 који се односи на социјалну заштиту:  </w:t>
      </w:r>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before="0" w:after="0"/>
        <w:jc w:val="both"/>
        <w:rPr>
          <w:rFonts w:ascii="Tahoma" w:hAnsi="Tahoma" w:cs="Tahoma"/>
          <w:i/>
          <w:i/>
          <w:color w:val="1F4E79" w:themeColor="accent5" w:themeShade="80"/>
          <w:sz w:val="18"/>
          <w:lang w:val="sr-RS"/>
        </w:rPr>
      </w:pPr>
      <w:r>
        <w:rPr>
          <w:rFonts w:cs="Tahoma" w:ascii="Tahoma" w:hAnsi="Tahoma"/>
          <w:i/>
          <w:color w:val="1F4E79" w:themeColor="accent5" w:themeShade="80"/>
          <w:sz w:val="18"/>
          <w:lang w:val="sr-RS"/>
        </w:rPr>
        <w:t>Табела</w:t>
      </w:r>
      <w:r>
        <w:rPr>
          <w:rFonts w:cs="Tahoma" w:ascii="Tahoma" w:hAnsi="Tahoma"/>
          <w:i/>
          <w:color w:val="1F4E79" w:themeColor="accent5" w:themeShade="80"/>
          <w:sz w:val="18"/>
          <w:lang w:val="sr-Latn-RS"/>
        </w:rPr>
        <w:t xml:space="preserve"> 1</w:t>
      </w:r>
      <w:r>
        <w:rPr>
          <w:rFonts w:cs="Tahoma" w:ascii="Tahoma" w:hAnsi="Tahoma"/>
          <w:i/>
          <w:color w:val="1F4E79" w:themeColor="accent5" w:themeShade="80"/>
          <w:sz w:val="18"/>
          <w:lang w:val="sr-RS"/>
        </w:rPr>
        <w:t>: Релевантни циљ из Плана развоја општине Беочин</w:t>
      </w:r>
    </w:p>
    <w:tbl>
      <w:tblPr>
        <w:tblStyle w:val="TableGrid0"/>
        <w:tblW w:w="9458" w:type="dxa"/>
        <w:jc w:val="center"/>
        <w:tblInd w:w="0" w:type="dxa"/>
        <w:tblLayout w:type="fixed"/>
        <w:tblCellMar>
          <w:top w:w="24" w:type="dxa"/>
          <w:start w:w="109" w:type="dxa"/>
          <w:bottom w:w="0" w:type="dxa"/>
          <w:end w:w="107" w:type="dxa"/>
        </w:tblCellMar>
        <w:tblLook w:firstRow="1" w:noVBand="1" w:lastRow="0" w:firstColumn="1" w:lastColumn="0" w:noHBand="0" w:val="04a0"/>
      </w:tblPr>
      <w:tblGrid>
        <w:gridCol w:w="2652"/>
        <w:gridCol w:w="995"/>
        <w:gridCol w:w="837"/>
        <w:gridCol w:w="4974"/>
      </w:tblGrid>
      <w:tr>
        <w:trPr>
          <w:trHeight w:val="536" w:hRule="atLeast"/>
        </w:trPr>
        <w:tc>
          <w:tcPr>
            <w:tcW w:w="2652" w:type="dxa"/>
            <w:tcBorders>
              <w:top w:val="single" w:sz="4" w:space="0" w:color="000000"/>
              <w:start w:val="single" w:sz="4" w:space="0" w:color="000000"/>
              <w:bottom w:val="single" w:sz="4" w:space="0" w:color="000000"/>
              <w:end w:val="single" w:sz="4" w:space="0" w:color="000000"/>
            </w:tcBorders>
            <w:shd w:color="auto" w:fill="D9E2F3" w:val="clear"/>
          </w:tcPr>
          <w:p>
            <w:pPr>
              <w:pStyle w:val="Normal"/>
              <w:widowControl w:val="false"/>
              <w:suppressAutoHyphens w:val="true"/>
              <w:spacing w:lineRule="auto" w:line="240" w:before="0" w:after="0"/>
              <w:ind w:start="54" w:hanging="0"/>
              <w:jc w:val="start"/>
              <w:rPr>
                <w:rFonts w:ascii="Tahoma" w:hAnsi="Tahoma" w:cs="Tahoma"/>
                <w:sz w:val="20"/>
              </w:rPr>
            </w:pPr>
            <w:r>
              <w:rPr>
                <w:rFonts w:eastAsia="Times New Roman" w:cs="Tahoma" w:ascii="Tahoma" w:hAnsi="Tahoma"/>
                <w:b/>
                <w:kern w:val="0"/>
                <w:sz w:val="20"/>
                <w:szCs w:val="22"/>
                <w:lang w:val="sr-Latn-RS" w:eastAsia="sr-Latn-RS" w:bidi="ar-SA"/>
              </w:rPr>
              <w:t>ПРИОРИТЕТНИ ЦИЉ</w:t>
            </w:r>
          </w:p>
          <w:p>
            <w:pPr>
              <w:pStyle w:val="Normal"/>
              <w:widowControl w:val="false"/>
              <w:suppressAutoHyphens w:val="true"/>
              <w:spacing w:lineRule="auto" w:line="240" w:before="0" w:after="0"/>
              <w:ind w:start="3" w:hanging="0"/>
              <w:jc w:val="center"/>
              <w:rPr>
                <w:rFonts w:ascii="Tahoma" w:hAnsi="Tahoma" w:cs="Tahoma"/>
                <w:sz w:val="20"/>
              </w:rPr>
            </w:pPr>
            <w:r>
              <w:rPr>
                <w:rFonts w:eastAsia="Times New Roman" w:cs="Tahoma" w:ascii="Tahoma" w:hAnsi="Tahoma"/>
                <w:b/>
                <w:kern w:val="0"/>
                <w:sz w:val="20"/>
                <w:szCs w:val="22"/>
                <w:lang w:val="sr-Latn-RS" w:eastAsia="sr-Latn-RS" w:bidi="ar-SA"/>
              </w:rPr>
              <w:t>7:</w:t>
            </w:r>
          </w:p>
        </w:tc>
        <w:tc>
          <w:tcPr>
            <w:tcW w:w="6806" w:type="dxa"/>
            <w:gridSpan w:val="3"/>
            <w:tcBorders>
              <w:top w:val="single" w:sz="4" w:space="0" w:color="000000"/>
              <w:start w:val="single" w:sz="4" w:space="0" w:color="000000"/>
              <w:bottom w:val="single" w:sz="4" w:space="0" w:color="000000"/>
              <w:end w:val="single" w:sz="4" w:space="0" w:color="000000"/>
            </w:tcBorders>
            <w:shd w:color="auto" w:fill="D9E2F3" w:val="clear"/>
          </w:tcPr>
          <w:p>
            <w:pPr>
              <w:pStyle w:val="Normal"/>
              <w:widowControl w:val="false"/>
              <w:suppressAutoHyphens w:val="true"/>
              <w:spacing w:lineRule="auto" w:line="240" w:before="0" w:after="0"/>
              <w:jc w:val="center"/>
              <w:rPr>
                <w:rFonts w:ascii="Tahoma" w:hAnsi="Tahoma" w:cs="Tahoma"/>
                <w:sz w:val="20"/>
              </w:rPr>
            </w:pPr>
            <w:r>
              <w:rPr>
                <w:rFonts w:eastAsia="Times New Roman" w:cs="Tahoma" w:ascii="Tahoma" w:hAnsi="Tahoma"/>
                <w:b/>
                <w:kern w:val="0"/>
                <w:sz w:val="20"/>
                <w:szCs w:val="22"/>
                <w:lang w:val="sr-Latn-RS" w:eastAsia="sr-Latn-RS" w:bidi="ar-SA"/>
              </w:rPr>
              <w:t>Успостављање независног система социјалне заштите до 2030. године</w:t>
            </w:r>
          </w:p>
        </w:tc>
      </w:tr>
      <w:tr>
        <w:trPr>
          <w:trHeight w:val="538" w:hRule="atLeast"/>
        </w:trPr>
        <w:tc>
          <w:tcPr>
            <w:tcW w:w="2652" w:type="dxa"/>
            <w:vMerge w:val="restart"/>
            <w:tcBorders>
              <w:top w:val="single" w:sz="4" w:space="0" w:color="000000"/>
              <w:start w:val="single" w:sz="4" w:space="0" w:color="000000"/>
              <w:bottom w:val="single" w:sz="4" w:space="0" w:color="000000"/>
              <w:end w:val="single" w:sz="4" w:space="0" w:color="000000"/>
            </w:tcBorders>
            <w:vAlign w:val="center"/>
          </w:tcPr>
          <w:p>
            <w:pPr>
              <w:pStyle w:val="Normal"/>
              <w:widowControl w:val="false"/>
              <w:suppressAutoHyphens w:val="true"/>
              <w:spacing w:lineRule="auto" w:line="240" w:before="0" w:after="0"/>
              <w:jc w:val="center"/>
              <w:rPr>
                <w:rFonts w:ascii="Tahoma" w:hAnsi="Tahoma" w:cs="Tahoma"/>
                <w:sz w:val="20"/>
              </w:rPr>
            </w:pPr>
            <w:r>
              <w:rPr>
                <w:rFonts w:eastAsia="Times New Roman" w:cs="Tahoma" w:ascii="Tahoma" w:hAnsi="Tahoma"/>
                <w:b/>
                <w:kern w:val="0"/>
                <w:sz w:val="20"/>
                <w:szCs w:val="22"/>
                <w:lang w:val="sr-Latn-RS" w:eastAsia="sr-Latn-RS" w:bidi="ar-SA"/>
              </w:rPr>
              <w:t>ДОПРИНОС ЦОР</w:t>
            </w:r>
            <w:r>
              <w:rPr>
                <w:rStyle w:val="FootnoteAnchor"/>
                <w:rFonts w:eastAsia="Times New Roman" w:cs="Tahoma" w:ascii="Tahoma" w:hAnsi="Tahoma"/>
                <w:b/>
                <w:kern w:val="0"/>
                <w:sz w:val="20"/>
                <w:szCs w:val="22"/>
                <w:lang w:val="sr-Latn-RS" w:eastAsia="sr-Latn-RS" w:bidi="ar-SA"/>
              </w:rPr>
              <w:footnoteReference w:id="58"/>
            </w:r>
            <w:r>
              <w:rPr>
                <w:rFonts w:eastAsia="Times New Roman" w:cs="Tahoma" w:ascii="Tahoma" w:hAnsi="Tahoma"/>
                <w:b/>
                <w:kern w:val="0"/>
                <w:sz w:val="20"/>
                <w:szCs w:val="22"/>
                <w:lang w:val="sr-Latn-RS" w:eastAsia="sr-Latn-RS" w:bidi="ar-SA"/>
              </w:rPr>
              <w:t xml:space="preserve"> АГЕНДА 2030</w:t>
            </w:r>
          </w:p>
        </w:tc>
        <w:tc>
          <w:tcPr>
            <w:tcW w:w="995" w:type="dxa"/>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40" w:before="0" w:after="0"/>
              <w:ind w:start="171" w:hanging="0"/>
              <w:jc w:val="start"/>
              <w:rPr>
                <w:rFonts w:ascii="Tahoma" w:hAnsi="Tahoma" w:cs="Tahoma"/>
                <w:sz w:val="20"/>
              </w:rPr>
            </w:pPr>
            <w:r>
              <w:rPr>
                <w:rFonts w:eastAsia="游明朝" w:cs="Tahoma" w:ascii="Tahoma" w:hAnsi="Tahoma"/>
                <w:kern w:val="0"/>
                <w:sz w:val="20"/>
                <w:szCs w:val="22"/>
                <w:lang w:val="sr-Latn-RS" w:eastAsia="sr-Latn-RS" w:bidi="ar-SA"/>
              </w:rPr>
              <w:t>Циљ</w:t>
            </w:r>
          </w:p>
        </w:tc>
        <w:tc>
          <w:tcPr>
            <w:tcW w:w="5811" w:type="dxa"/>
            <w:gridSpan w:val="2"/>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40" w:before="0" w:after="0"/>
              <w:ind w:start="24" w:end="376" w:hanging="0"/>
              <w:jc w:val="start"/>
              <w:rPr>
                <w:rFonts w:ascii="Tahoma" w:hAnsi="Tahoma" w:cs="Tahoma"/>
                <w:sz w:val="20"/>
              </w:rPr>
            </w:pPr>
            <w:r>
              <w:rPr>
                <w:rFonts w:eastAsia="游明朝" w:cs="Tahoma" w:ascii="Tahoma" w:hAnsi="Tahoma"/>
                <w:kern w:val="0"/>
                <w:sz w:val="20"/>
                <w:szCs w:val="22"/>
                <w:lang w:val="sr-Latn-RS" w:eastAsia="sr-Latn-RS" w:bidi="ar-SA"/>
              </w:rPr>
              <w:t>Циљ 1 – Окончати сиромаштво свуда и у свим облицима</w:t>
            </w:r>
          </w:p>
        </w:tc>
      </w:tr>
      <w:tr>
        <w:trPr>
          <w:trHeight w:val="1096" w:hRule="atLeast"/>
        </w:trPr>
        <w:tc>
          <w:tcPr>
            <w:tcW w:w="2652" w:type="dxa"/>
            <w:vMerge w:val="continue"/>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40" w:before="0" w:after="0"/>
              <w:jc w:val="start"/>
              <w:rPr>
                <w:rFonts w:ascii="Tahoma" w:hAnsi="Tahoma" w:cs="Tahoma"/>
                <w:sz w:val="20"/>
              </w:rPr>
            </w:pPr>
            <w:r>
              <w:rPr>
                <w:rFonts w:cs="Tahoma" w:ascii="Tahoma" w:hAnsi="Tahoma"/>
                <w:sz w:val="20"/>
              </w:rPr>
            </w:r>
          </w:p>
        </w:tc>
        <w:tc>
          <w:tcPr>
            <w:tcW w:w="995"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uppressAutoHyphens w:val="true"/>
              <w:spacing w:lineRule="auto" w:line="240" w:before="0" w:after="0"/>
              <w:ind w:start="2" w:hanging="0"/>
              <w:jc w:val="start"/>
              <w:rPr>
                <w:rFonts w:ascii="Tahoma" w:hAnsi="Tahoma" w:cs="Tahoma"/>
                <w:sz w:val="20"/>
              </w:rPr>
            </w:pPr>
            <w:r>
              <w:rPr>
                <w:rFonts w:eastAsia="游明朝" w:cs="Tahoma" w:ascii="Tahoma" w:hAnsi="Tahoma"/>
                <w:kern w:val="0"/>
                <w:sz w:val="20"/>
                <w:szCs w:val="22"/>
                <w:lang w:val="sr-Latn-RS" w:eastAsia="sr-Latn-RS" w:bidi="ar-SA"/>
              </w:rPr>
              <w:t>Подциљ</w:t>
            </w:r>
          </w:p>
        </w:tc>
        <w:tc>
          <w:tcPr>
            <w:tcW w:w="5811" w:type="dxa"/>
            <w:gridSpan w:val="2"/>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40" w:before="0" w:after="0"/>
              <w:jc w:val="start"/>
              <w:rPr>
                <w:rFonts w:ascii="Tahoma" w:hAnsi="Tahoma" w:cs="Tahoma"/>
                <w:sz w:val="20"/>
              </w:rPr>
            </w:pPr>
            <w:r>
              <w:rPr>
                <w:rFonts w:eastAsia="游明朝" w:cs="Tahoma" w:ascii="Tahoma" w:hAnsi="Tahoma"/>
                <w:kern w:val="0"/>
                <w:sz w:val="20"/>
                <w:szCs w:val="22"/>
                <w:lang w:val="sr-Latn-RS" w:eastAsia="sr-Latn-RS" w:bidi="ar-SA"/>
              </w:rPr>
              <w:t>Подциљ 1.3. Применити одговарајуће националне системе социјалне заштите и мере за све, укључујући најугроженије, и до краја 2030. постићи довољно велики обухват сиромашних и рањивих.</w:t>
            </w:r>
          </w:p>
        </w:tc>
      </w:tr>
      <w:tr>
        <w:trPr>
          <w:trHeight w:val="600" w:hRule="atLeast"/>
        </w:trPr>
        <w:tc>
          <w:tcPr>
            <w:tcW w:w="2652"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uppressAutoHyphens w:val="true"/>
              <w:spacing w:lineRule="auto" w:line="240" w:before="0" w:after="0"/>
              <w:ind w:start="8" w:hanging="0"/>
              <w:jc w:val="center"/>
              <w:rPr>
                <w:rFonts w:ascii="Tahoma" w:hAnsi="Tahoma" w:cs="Tahoma"/>
                <w:sz w:val="20"/>
              </w:rPr>
            </w:pPr>
            <w:r>
              <w:rPr>
                <w:rFonts w:eastAsia="Times New Roman" w:cs="Tahoma" w:ascii="Tahoma" w:hAnsi="Tahoma"/>
                <w:b/>
                <w:kern w:val="0"/>
                <w:sz w:val="20"/>
                <w:szCs w:val="22"/>
                <w:lang w:val="sr-Latn-RS" w:eastAsia="sr-Latn-RS" w:bidi="ar-SA"/>
              </w:rPr>
              <w:t>Показатељ ЦОР</w:t>
            </w:r>
          </w:p>
        </w:tc>
        <w:tc>
          <w:tcPr>
            <w:tcW w:w="6806" w:type="dxa"/>
            <w:gridSpan w:val="3"/>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40" w:before="0" w:after="0"/>
              <w:jc w:val="start"/>
              <w:rPr>
                <w:rFonts w:ascii="Tahoma" w:hAnsi="Tahoma" w:cs="Tahoma"/>
                <w:sz w:val="20"/>
              </w:rPr>
            </w:pPr>
            <w:r>
              <w:rPr>
                <w:rFonts w:eastAsia="游明朝" w:cs="Tahoma" w:ascii="Tahoma" w:hAnsi="Tahoma"/>
                <w:kern w:val="0"/>
                <w:sz w:val="20"/>
                <w:szCs w:val="22"/>
                <w:lang w:val="sr-Latn-RS" w:eastAsia="sr-Latn-RS" w:bidi="ar-SA"/>
              </w:rPr>
              <w:t>Модификован 1.3.1. Удео становника обухваћених системима социјалне заштите</w:t>
            </w:r>
          </w:p>
        </w:tc>
      </w:tr>
      <w:tr>
        <w:trPr>
          <w:trHeight w:val="536" w:hRule="atLeast"/>
        </w:trPr>
        <w:tc>
          <w:tcPr>
            <w:tcW w:w="2652" w:type="dxa"/>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40" w:before="0" w:after="0"/>
              <w:jc w:val="center"/>
              <w:rPr>
                <w:rFonts w:ascii="Tahoma" w:hAnsi="Tahoma" w:cs="Tahoma"/>
                <w:sz w:val="20"/>
              </w:rPr>
            </w:pPr>
            <w:r>
              <w:rPr>
                <w:rFonts w:eastAsia="Times New Roman" w:cs="Tahoma" w:ascii="Tahoma" w:hAnsi="Tahoma"/>
                <w:b/>
                <w:kern w:val="0"/>
                <w:sz w:val="20"/>
                <w:szCs w:val="22"/>
                <w:lang w:val="sr-Latn-RS" w:eastAsia="sr-Latn-RS" w:bidi="ar-SA"/>
              </w:rPr>
              <w:t>Веза – преговарачка поглавља са ЕУ</w:t>
            </w:r>
          </w:p>
        </w:tc>
        <w:tc>
          <w:tcPr>
            <w:tcW w:w="6806" w:type="dxa"/>
            <w:gridSpan w:val="3"/>
            <w:tcBorders>
              <w:top w:val="single" w:sz="4" w:space="0" w:color="000000"/>
              <w:start w:val="single" w:sz="4" w:space="0" w:color="000000"/>
              <w:bottom w:val="single" w:sz="4" w:space="0" w:color="000000"/>
              <w:end w:val="single" w:sz="4" w:space="0" w:color="000000"/>
            </w:tcBorders>
            <w:vAlign w:val="center"/>
          </w:tcPr>
          <w:p>
            <w:pPr>
              <w:pStyle w:val="Normal"/>
              <w:widowControl w:val="false"/>
              <w:suppressAutoHyphens w:val="true"/>
              <w:spacing w:lineRule="auto" w:line="240" w:before="0" w:after="0"/>
              <w:jc w:val="start"/>
              <w:rPr>
                <w:rFonts w:ascii="Tahoma" w:hAnsi="Tahoma" w:cs="Tahoma"/>
                <w:sz w:val="20"/>
              </w:rPr>
            </w:pPr>
            <w:r>
              <w:rPr>
                <w:rFonts w:eastAsia="游明朝" w:cs="Tahoma" w:ascii="Tahoma" w:hAnsi="Tahoma"/>
                <w:kern w:val="0"/>
                <w:sz w:val="20"/>
                <w:szCs w:val="22"/>
                <w:lang w:val="sr-Latn-RS" w:eastAsia="sr-Latn-RS" w:bidi="ar-SA"/>
              </w:rPr>
              <w:t>Поглавље 19. Социјална политика и запошљавање</w:t>
            </w:r>
          </w:p>
        </w:tc>
      </w:tr>
      <w:tr>
        <w:trPr>
          <w:trHeight w:val="445" w:hRule="atLeast"/>
        </w:trPr>
        <w:tc>
          <w:tcPr>
            <w:tcW w:w="4484" w:type="dxa"/>
            <w:gridSpan w:val="3"/>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40" w:before="0" w:after="0"/>
              <w:jc w:val="center"/>
              <w:rPr>
                <w:rFonts w:ascii="Tahoma" w:hAnsi="Tahoma" w:cs="Tahoma"/>
                <w:sz w:val="20"/>
              </w:rPr>
            </w:pPr>
            <w:r>
              <w:rPr>
                <w:rFonts w:eastAsia="Times New Roman" w:cs="Tahoma" w:ascii="Tahoma" w:hAnsi="Tahoma"/>
                <w:b/>
                <w:kern w:val="0"/>
                <w:sz w:val="20"/>
                <w:szCs w:val="22"/>
                <w:lang w:val="sr-Latn-RS" w:eastAsia="sr-Latn-RS" w:bidi="ar-SA"/>
              </w:rPr>
              <w:t>Показатељ исхода 2021. (базни)</w:t>
            </w:r>
          </w:p>
        </w:tc>
        <w:tc>
          <w:tcPr>
            <w:tcW w:w="4974" w:type="dxa"/>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40" w:before="0" w:after="0"/>
              <w:ind w:start="2" w:hanging="0"/>
              <w:jc w:val="center"/>
              <w:rPr>
                <w:rFonts w:ascii="Tahoma" w:hAnsi="Tahoma" w:cs="Tahoma"/>
                <w:sz w:val="20"/>
              </w:rPr>
            </w:pPr>
            <w:r>
              <w:rPr>
                <w:rFonts w:eastAsia="Times New Roman" w:cs="Tahoma" w:ascii="Tahoma" w:hAnsi="Tahoma"/>
                <w:b/>
                <w:kern w:val="0"/>
                <w:sz w:val="20"/>
                <w:szCs w:val="22"/>
                <w:lang w:val="sr-Latn-RS" w:eastAsia="sr-Latn-RS" w:bidi="ar-SA"/>
              </w:rPr>
              <w:t>Показатељ исхода 2030. (циљани)</w:t>
            </w:r>
          </w:p>
        </w:tc>
      </w:tr>
      <w:tr>
        <w:trPr>
          <w:trHeight w:val="730" w:hRule="atLeast"/>
        </w:trPr>
        <w:tc>
          <w:tcPr>
            <w:tcW w:w="4484" w:type="dxa"/>
            <w:gridSpan w:val="3"/>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40" w:before="0" w:after="0"/>
              <w:jc w:val="center"/>
              <w:rPr>
                <w:rFonts w:ascii="Tahoma" w:hAnsi="Tahoma" w:cs="Tahoma"/>
                <w:sz w:val="20"/>
              </w:rPr>
            </w:pPr>
            <w:r>
              <w:rPr>
                <w:rFonts w:eastAsia="游明朝" w:cs="Tahoma" w:ascii="Tahoma" w:hAnsi="Tahoma"/>
                <w:kern w:val="0"/>
                <w:sz w:val="20"/>
                <w:szCs w:val="22"/>
                <w:lang w:val="sr-Latn-RS" w:eastAsia="sr-Latn-RS" w:bidi="ar-SA"/>
              </w:rPr>
              <w:t>Центар за социјални рад функционише као одељење ЦСР Нови Сад</w:t>
            </w:r>
          </w:p>
        </w:tc>
        <w:tc>
          <w:tcPr>
            <w:tcW w:w="4974" w:type="dxa"/>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40" w:before="0" w:after="0"/>
              <w:jc w:val="start"/>
              <w:rPr>
                <w:rFonts w:ascii="Tahoma" w:hAnsi="Tahoma" w:cs="Tahoma"/>
                <w:sz w:val="20"/>
              </w:rPr>
            </w:pPr>
            <w:r>
              <w:rPr>
                <w:rFonts w:eastAsia="游明朝" w:cs="Tahoma" w:ascii="Tahoma" w:hAnsi="Tahoma"/>
                <w:kern w:val="0"/>
                <w:sz w:val="20"/>
                <w:szCs w:val="22"/>
                <w:lang w:val="sr-Latn-RS" w:eastAsia="sr-Latn-RS" w:bidi="ar-SA"/>
              </w:rPr>
              <w:t>Формиран је Центар за социјални рад општине</w:t>
            </w:r>
            <w:r>
              <w:rPr>
                <w:rFonts w:eastAsia="游明朝" w:cs="Tahoma" w:ascii="Tahoma" w:hAnsi="Tahoma"/>
                <w:kern w:val="0"/>
                <w:sz w:val="20"/>
                <w:szCs w:val="22"/>
                <w:lang w:val="sr-RS" w:eastAsia="sr-Latn-RS" w:bidi="ar-SA"/>
              </w:rPr>
              <w:t xml:space="preserve"> </w:t>
            </w:r>
            <w:r>
              <w:rPr>
                <w:rFonts w:eastAsia="游明朝" w:cs="Tahoma" w:ascii="Tahoma" w:hAnsi="Tahoma"/>
                <w:kern w:val="0"/>
                <w:sz w:val="20"/>
                <w:szCs w:val="22"/>
                <w:lang w:val="sr-Latn-RS" w:eastAsia="sr-Latn-RS" w:bidi="ar-SA"/>
              </w:rPr>
              <w:t>Беочин</w:t>
            </w:r>
          </w:p>
        </w:tc>
      </w:tr>
    </w:tbl>
    <w:p>
      <w:pPr>
        <w:pStyle w:val="Normal"/>
        <w:spacing w:lineRule="auto" w:line="240" w:before="0" w:after="0"/>
        <w:ind w:start="419" w:hanging="8"/>
        <w:rPr>
          <w:rFonts w:ascii="Times New Roman" w:hAnsi="Times New Roman" w:eastAsia="Times New Roman" w:cs="Times New Roman"/>
          <w:b/>
          <w:b/>
          <w:color w:val="0070C0"/>
          <w:lang w:val="sr-Latn-RS"/>
        </w:rPr>
      </w:pPr>
      <w:r>
        <w:rPr>
          <w:rFonts w:eastAsia="Times New Roman" w:cs="Times New Roman" w:ascii="Times New Roman" w:hAnsi="Times New Roman"/>
          <w:b/>
          <w:color w:val="0070C0"/>
          <w:lang w:val="sr-Latn-RS"/>
        </w:rPr>
      </w:r>
    </w:p>
    <w:p>
      <w:pPr>
        <w:pStyle w:val="Normal"/>
        <w:spacing w:lineRule="auto" w:line="240" w:before="0" w:after="0"/>
        <w:jc w:val="both"/>
        <w:rPr>
          <w:rFonts w:ascii="Tahoma" w:hAnsi="Tahoma" w:cs="Tahoma"/>
          <w:sz w:val="20"/>
          <w:lang w:val="sr-RS"/>
        </w:rPr>
      </w:pPr>
      <w:r>
        <w:rPr>
          <w:rFonts w:cs="Tahoma" w:ascii="Tahoma" w:hAnsi="Tahoma"/>
          <w:sz w:val="20"/>
          <w:lang w:val="sr-RS"/>
        </w:rPr>
        <w:t>У оквиру Приоритетног циља 7 предвиђене су три мере, од којих су две у имплементацији:</w:t>
      </w:r>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before="0" w:after="0"/>
        <w:ind w:hanging="8"/>
        <w:jc w:val="both"/>
        <w:rPr>
          <w:rFonts w:ascii="Tahoma" w:hAnsi="Tahoma" w:cs="Tahoma"/>
          <w:sz w:val="20"/>
          <w:lang w:val="sr-RS"/>
        </w:rPr>
      </w:pPr>
      <w:r>
        <w:rPr>
          <w:rFonts w:eastAsia="Times New Roman" w:cs="Tahoma" w:ascii="Tahoma" w:hAnsi="Tahoma"/>
          <w:b/>
          <w:sz w:val="20"/>
          <w:lang w:val="sr-RS"/>
        </w:rPr>
        <w:t xml:space="preserve">Мера 7.1: Оснивање Центра за социјални рад Беочин. </w:t>
      </w:r>
      <w:r>
        <w:rPr>
          <w:rFonts w:cs="Tahoma" w:ascii="Tahoma" w:hAnsi="Tahoma"/>
          <w:sz w:val="20"/>
          <w:lang w:val="sr-RS"/>
        </w:rPr>
        <w:t>Ова мера није остварена, и нису покренуте активности у том правцу</w:t>
      </w:r>
    </w:p>
    <w:p>
      <w:pPr>
        <w:pStyle w:val="Normal"/>
        <w:spacing w:lineRule="auto" w:line="240" w:before="0" w:after="0"/>
        <w:jc w:val="both"/>
        <w:rPr>
          <w:rFonts w:ascii="Tahoma" w:hAnsi="Tahoma" w:cs="Tahoma"/>
          <w:sz w:val="20"/>
          <w:lang w:val="sr-RS"/>
        </w:rPr>
      </w:pPr>
      <w:r>
        <w:rPr>
          <w:rFonts w:eastAsia="Times New Roman" w:cs="Tahoma" w:ascii="Tahoma" w:hAnsi="Tahoma"/>
          <w:b/>
          <w:sz w:val="20"/>
          <w:lang w:val="sr-RS"/>
        </w:rPr>
        <w:t xml:space="preserve">Мера 7.2: Усвајање документа јавне политике у области социјалне заштите. </w:t>
      </w:r>
      <w:r>
        <w:rPr>
          <w:rFonts w:cs="Tahoma" w:ascii="Tahoma" w:hAnsi="Tahoma"/>
          <w:sz w:val="20"/>
          <w:lang w:val="sr-RS"/>
        </w:rPr>
        <w:t>Општина Беочин је 2024. године уз техничку подршку СКГО покренула процес израде Програма унапређења социјалне заштите за период 2025-20230. године</w:t>
      </w:r>
    </w:p>
    <w:p>
      <w:pPr>
        <w:pStyle w:val="Normal"/>
        <w:spacing w:lineRule="auto" w:line="240" w:before="0" w:after="0"/>
        <w:ind w:hanging="8"/>
        <w:jc w:val="both"/>
        <w:rPr>
          <w:rFonts w:ascii="Tahoma" w:hAnsi="Tahoma" w:cs="Tahoma"/>
          <w:sz w:val="20"/>
          <w:lang w:val="sr-RS"/>
        </w:rPr>
      </w:pPr>
      <w:r>
        <w:rPr>
          <w:rFonts w:eastAsia="Times New Roman" w:cs="Tahoma" w:ascii="Tahoma" w:hAnsi="Tahoma"/>
          <w:b/>
          <w:sz w:val="20"/>
          <w:lang w:val="sr-RS"/>
        </w:rPr>
        <w:t xml:space="preserve">Мера 7.3: Унапређење квалитета постојећих и увођење нових услуга социјалне заштите. </w:t>
      </w:r>
      <w:r>
        <w:rPr>
          <w:rFonts w:cs="Tahoma" w:ascii="Tahoma" w:hAnsi="Tahoma"/>
          <w:sz w:val="20"/>
          <w:lang w:val="sr-RS"/>
        </w:rPr>
        <w:t xml:space="preserve">Општина Беочин је 2024. године уз техничку и финансијску подршку СКГО покренула процес унапређења нормативног оквира у области социјалне заштите, и успостављања услуге Помоћ у кући за стара и одрасла лица. </w:t>
      </w:r>
    </w:p>
    <w:p>
      <w:pPr>
        <w:pStyle w:val="Normal"/>
        <w:spacing w:lineRule="auto" w:line="240" w:before="0" w:after="0"/>
        <w:rPr>
          <w:lang w:val="sr-Latn-RS"/>
        </w:rPr>
      </w:pPr>
      <w:r>
        <w:rPr>
          <w:lang w:val="sr-Latn-RS"/>
        </w:rPr>
      </w:r>
    </w:p>
    <w:p>
      <w:pPr>
        <w:pStyle w:val="Heading2"/>
        <w:numPr>
          <w:ilvl w:val="1"/>
          <w:numId w:val="1"/>
        </w:numPr>
        <w:spacing w:lineRule="auto" w:line="240"/>
        <w:ind w:start="900" w:hanging="540"/>
        <w:rPr>
          <w:rFonts w:ascii="Tahoma" w:hAnsi="Tahoma" w:cs="Tahoma"/>
          <w:sz w:val="28"/>
          <w:szCs w:val="28"/>
          <w:lang w:val="sr-RS"/>
        </w:rPr>
      </w:pPr>
      <w:bookmarkStart w:id="15" w:name="_Toc188876948"/>
      <w:r>
        <w:rPr>
          <w:rFonts w:cs="Tahoma" w:ascii="Tahoma" w:hAnsi="Tahoma"/>
          <w:sz w:val="28"/>
          <w:szCs w:val="28"/>
          <w:lang w:val="sr-RS"/>
        </w:rPr>
        <w:t>Општи подаци о општини Беочин</w:t>
      </w:r>
      <w:bookmarkEnd w:id="15"/>
    </w:p>
    <w:p>
      <w:pPr>
        <w:pStyle w:val="Normal"/>
        <w:spacing w:lineRule="auto" w:line="240"/>
        <w:rPr>
          <w:sz w:val="20"/>
          <w:lang w:val="sr-RS"/>
        </w:rPr>
      </w:pPr>
      <w:r>
        <w:rPr>
          <w:sz w:val="20"/>
          <w:lang w:val="sr-RS"/>
        </w:rPr>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t>Општина Беочин се налази у централном делу АП Војводине, у северозападном делу Србије. Територијално припада северном делу Срема, док је административно део Јужно-бачког округа. Северном границом Општине протиче река Дунав која дели Општинску територију од територије града Новог Сада. Јужну страну Општине обухватају обронци планине Фрушке горе. Општина Беочин са северне стране једним делом граничи са општином Бачки Петровац, на североистоку са општином Нови Сад и на северозападу са општином Бачка Паланка. Са југоисточне стране је општина Ириг, док са југозападне стране Беочин граничи са општином Сремска Митровица. Нови Сад, који је административни центар АП Војводине, удаљен је од Беочина 17 километара.</w:t>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t>Површина Општине је 186 км</w:t>
      </w:r>
      <w:r>
        <w:rPr>
          <w:rFonts w:cs="Tahoma" w:ascii="Tahoma" w:hAnsi="Tahoma"/>
          <w:sz w:val="20"/>
          <w:szCs w:val="24"/>
          <w:vertAlign w:val="superscript"/>
          <w:lang w:val="ru-RU"/>
        </w:rPr>
        <w:t>2</w:t>
      </w:r>
      <w:r>
        <w:rPr>
          <w:rFonts w:cs="Tahoma" w:ascii="Tahoma" w:hAnsi="Tahoma"/>
          <w:sz w:val="20"/>
          <w:szCs w:val="24"/>
          <w:lang w:val="ru-RU"/>
        </w:rPr>
        <w:t xml:space="preserve"> и једна је од најмањих општина у Јужно-Бачком округу. Укупан број становника по попису из 2011. године је 15.726, а укупан број домаћинстава 5.577. На километар квадратни долази 84 становника, што је испод просека за Републику Србију. Приметно је велика разлика у густини насељености појединих насеља, од 7 становника по км</w:t>
      </w:r>
      <w:r>
        <w:rPr>
          <w:rFonts w:cs="Tahoma" w:ascii="Tahoma" w:hAnsi="Tahoma"/>
          <w:sz w:val="20"/>
          <w:szCs w:val="24"/>
          <w:vertAlign w:val="superscript"/>
          <w:lang w:val="ru-RU"/>
        </w:rPr>
        <w:t>2</w:t>
      </w:r>
      <w:r>
        <w:rPr>
          <w:rFonts w:cs="Tahoma" w:ascii="Tahoma" w:hAnsi="Tahoma"/>
          <w:sz w:val="20"/>
          <w:szCs w:val="24"/>
          <w:lang w:val="ru-RU"/>
        </w:rPr>
        <w:t xml:space="preserve"> у Грабову до 220 колико износи број становника по км</w:t>
      </w:r>
      <w:r>
        <w:rPr>
          <w:rFonts w:cs="Tahoma" w:ascii="Tahoma" w:hAnsi="Tahoma"/>
          <w:sz w:val="20"/>
          <w:szCs w:val="24"/>
          <w:vertAlign w:val="superscript"/>
          <w:lang w:val="ru-RU"/>
        </w:rPr>
        <w:t>2</w:t>
      </w:r>
      <w:r>
        <w:rPr>
          <w:rFonts w:cs="Tahoma" w:ascii="Tahoma" w:hAnsi="Tahoma"/>
          <w:sz w:val="20"/>
          <w:szCs w:val="24"/>
          <w:lang w:val="ru-RU"/>
        </w:rPr>
        <w:t xml:space="preserve"> у самом месту Беочину. На подручју општине Беочин има 8 насељених места: Беочин, Раковац, Черевић, Баноштор, Сусек, Свилош, Грабово и Луг. Просечна величина насеља је 23,3 km². Територијално највеће катастарске општине су Сусек (3.940,7 ha), Беочин (3.505,6 ха) и Черевић (3.263,6 ha). Територијално најмање насељено место је Луг са површином од 996,5 ha. По броју становника, највећа насеља су Беочин, Черевић и Раковац. Најмањи број становника има насеље Грабово</w:t>
      </w:r>
      <w:r>
        <w:rPr>
          <w:rFonts w:cs="Tahoma" w:ascii="Tahoma" w:hAnsi="Tahoma"/>
          <w:sz w:val="20"/>
          <w:szCs w:val="24"/>
          <w:lang w:val="sr-Latn-RS"/>
        </w:rPr>
        <w:t>,</w:t>
      </w:r>
      <w:r>
        <w:rPr>
          <w:rFonts w:cs="Tahoma" w:ascii="Tahoma" w:hAnsi="Tahoma"/>
          <w:sz w:val="20"/>
          <w:szCs w:val="24"/>
          <w:lang w:val="ru-RU"/>
        </w:rPr>
        <w:t xml:space="preserve"> само 100 становника. Беочин је једино градско насеље и преставља административни центар Општине. Општина је правоугаоног облика и простире се у правцу север-југ 7 до 10 километара, док је издужена у правцу исток - запад 27 километара. </w:t>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t>На територији Општине Беочин живи више од двадесет припадника разних народности: Срби, Словаци, Роми, Хрвати, Мађари, Црногорци и други.</w:t>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t>Кроз општински простор пролазе саобраћајно важни коридори путног-друмског саобраћаја и то</w:t>
      </w:r>
      <w:r>
        <w:rPr>
          <w:rStyle w:val="FootnoteAnchor"/>
          <w:rFonts w:cs="Tahoma" w:ascii="Tahoma" w:hAnsi="Tahoma"/>
          <w:sz w:val="20"/>
          <w:szCs w:val="24"/>
          <w:vertAlign w:val="superscript"/>
          <w:lang w:val="ru-RU"/>
        </w:rPr>
        <w:footnoteReference w:id="59"/>
      </w:r>
      <w:r>
        <w:rPr>
          <w:rFonts w:cs="Tahoma" w:ascii="Tahoma" w:hAnsi="Tahoma"/>
          <w:sz w:val="20"/>
          <w:szCs w:val="24"/>
          <w:lang w:val="ru-RU"/>
        </w:rPr>
        <w:t>:</w:t>
      </w:r>
    </w:p>
    <w:p>
      <w:pPr>
        <w:pStyle w:val="ListParagraph"/>
        <w:numPr>
          <w:ilvl w:val="0"/>
          <w:numId w:val="3"/>
        </w:numPr>
        <w:spacing w:lineRule="auto" w:line="240" w:before="0" w:after="0"/>
        <w:contextualSpacing/>
        <w:jc w:val="both"/>
        <w:rPr>
          <w:rFonts w:ascii="Tahoma" w:hAnsi="Tahoma" w:cs="Tahoma"/>
          <w:sz w:val="20"/>
          <w:szCs w:val="24"/>
          <w:lang w:val="ru-RU"/>
        </w:rPr>
      </w:pPr>
      <w:r>
        <w:rPr>
          <w:rFonts w:cs="Tahoma" w:ascii="Tahoma" w:hAnsi="Tahoma"/>
          <w:sz w:val="20"/>
          <w:szCs w:val="24"/>
          <w:lang w:val="ru-RU"/>
        </w:rPr>
        <w:t>Државни пут IIA реда број 119, државна граница са Хрватском (гранични прелаз Нештин) - Беочин - Сремска Каменица, као основни капацитет међунасељског повезивања и повезивања привредно значајних садржаја у суседним општинама и државама.</w:t>
      </w:r>
    </w:p>
    <w:p>
      <w:pPr>
        <w:pStyle w:val="ListParagraph"/>
        <w:numPr>
          <w:ilvl w:val="0"/>
          <w:numId w:val="3"/>
        </w:numPr>
        <w:spacing w:lineRule="auto" w:line="240" w:before="0" w:after="0"/>
        <w:contextualSpacing/>
        <w:jc w:val="both"/>
        <w:rPr>
          <w:rFonts w:ascii="Tahoma" w:hAnsi="Tahoma" w:cs="Tahoma"/>
          <w:sz w:val="20"/>
          <w:szCs w:val="24"/>
          <w:lang w:val="ru-RU"/>
        </w:rPr>
      </w:pPr>
      <w:r>
        <w:rPr>
          <w:rFonts w:cs="Tahoma" w:ascii="Tahoma" w:hAnsi="Tahoma"/>
          <w:sz w:val="20"/>
          <w:szCs w:val="24"/>
          <w:lang w:val="ru-RU"/>
        </w:rPr>
        <w:t>Државни пут IIБ реда број  313, Раковац - Змајевац - Врдник - Ириг - Крушедол Марадик - веза са државним путем 100.  Овај пут представља важан сегмент регионалног система саобраћајница овог дела Срема. Он чини  кетегорисану путну мрежу из које настају радијални путеви нижег хијерархијског нивоа ка појединим насељима и локалитетима у оквиру општинског простор.</w:t>
      </w:r>
    </w:p>
    <w:p>
      <w:pPr>
        <w:pStyle w:val="ListParagraph"/>
        <w:numPr>
          <w:ilvl w:val="0"/>
          <w:numId w:val="3"/>
        </w:numPr>
        <w:spacing w:lineRule="auto" w:line="240" w:before="0" w:after="0"/>
        <w:contextualSpacing/>
        <w:jc w:val="both"/>
        <w:rPr>
          <w:rFonts w:ascii="Tahoma" w:hAnsi="Tahoma" w:cs="Tahoma"/>
          <w:sz w:val="20"/>
          <w:szCs w:val="24"/>
          <w:lang w:val="ru-RU"/>
        </w:rPr>
      </w:pPr>
      <w:r>
        <w:rPr>
          <w:rFonts w:cs="Tahoma" w:ascii="Tahoma" w:hAnsi="Tahoma"/>
          <w:sz w:val="20"/>
          <w:szCs w:val="24"/>
          <w:lang w:val="ru-RU"/>
        </w:rPr>
        <w:t>Државни пут IIА реда број 123, Свилош - Сремска Митровица (веза са државним путем 20). Овај државни пут повезује општину Беочин са Сремском Митровицом и значајан је у међуопштиснком повезивању као и за везу са кетегорисаним путевима вишег хијерархијског нивоа.</w:t>
      </w:r>
    </w:p>
    <w:p>
      <w:pPr>
        <w:pStyle w:val="Normal"/>
        <w:spacing w:lineRule="auto" w:line="240" w:before="240" w:after="0"/>
        <w:jc w:val="both"/>
        <w:rPr>
          <w:rFonts w:ascii="Tahoma" w:hAnsi="Tahoma" w:cs="Tahoma"/>
          <w:sz w:val="20"/>
          <w:szCs w:val="24"/>
          <w:lang w:val="ru-RU"/>
        </w:rPr>
      </w:pPr>
      <w:r>
        <w:rPr>
          <w:rFonts w:cs="Tahoma" w:ascii="Tahoma" w:hAnsi="Tahoma"/>
          <w:sz w:val="20"/>
          <w:szCs w:val="24"/>
          <w:lang w:val="ru-RU"/>
        </w:rPr>
        <w:t>Путну мрежу општине Беочин чини 76,97 km путева различитог нивоа и квалитета, од чега је 100% путева пут са савременим коловозом. На простору Општине имамо 0 km државних путева I реда, 42,71km државних путева II реда и 33,26km општинских путева. Густина путева се није значајно мењала на територији општине Беочин и у 2019. години износи 0,4 km/km2. Густина путева Општине спада  у мање густине путева у панелу локалних самоуправа са којима је поређена општина Беочин по овом показатељу.</w:t>
      </w:r>
    </w:p>
    <w:p>
      <w:pPr>
        <w:pStyle w:val="Normal"/>
        <w:spacing w:lineRule="auto" w:line="240" w:before="240" w:after="266"/>
        <w:ind w:end="4" w:hanging="0"/>
        <w:jc w:val="both"/>
        <w:rPr>
          <w:rFonts w:ascii="Tahoma" w:hAnsi="Tahoma" w:cs="Tahoma"/>
          <w:sz w:val="20"/>
          <w:lang w:val="ru-RU"/>
        </w:rPr>
      </w:pPr>
      <w:r>
        <w:rPr>
          <w:rFonts w:cs="Tahoma" w:ascii="Tahoma" w:hAnsi="Tahoma"/>
          <w:sz w:val="20"/>
          <w:lang w:val="ru-RU"/>
        </w:rPr>
        <w:t>Општину Беочин, када је у питању комунална инфраструктура, одликује висока прикљученост домаћинстава на водоводну мрежу и релативно недовољна прикљученост на канализациону мрежу. На водоводну мрежу у 2021. години у општини Беочин прикључено је 5.475 домаћинстава односно 99,3% домаћинстава</w:t>
      </w:r>
      <w:r>
        <w:rPr>
          <w:rStyle w:val="FootnoteAnchor"/>
          <w:rFonts w:cs="Tahoma" w:ascii="Tahoma" w:hAnsi="Tahoma"/>
          <w:sz w:val="20"/>
          <w:vertAlign w:val="superscript"/>
        </w:rPr>
        <w:footnoteReference w:id="60"/>
      </w:r>
      <w:r>
        <w:rPr>
          <w:rFonts w:cs="Tahoma" w:ascii="Tahoma" w:hAnsi="Tahoma"/>
          <w:sz w:val="20"/>
          <w:lang w:val="ru-RU"/>
        </w:rPr>
        <w:t>. Укупна дужина водоводне мреже Општине износи 118</w:t>
      </w:r>
      <w:r>
        <w:rPr>
          <w:rFonts w:cs="Tahoma" w:ascii="Tahoma" w:hAnsi="Tahoma"/>
          <w:sz w:val="20"/>
        </w:rPr>
        <w:t>km</w:t>
      </w:r>
      <w:r>
        <w:rPr>
          <w:rFonts w:cs="Tahoma" w:ascii="Tahoma" w:hAnsi="Tahoma"/>
          <w:sz w:val="20"/>
          <w:lang w:val="ru-RU"/>
        </w:rPr>
        <w:t>. Водоснабдевање на териториј</w:t>
      </w:r>
      <w:r>
        <w:rPr>
          <w:rFonts w:cs="Tahoma" w:ascii="Tahoma" w:hAnsi="Tahoma"/>
          <w:sz w:val="20"/>
          <w:lang w:val="sr-RS"/>
        </w:rPr>
        <w:t>и</w:t>
      </w:r>
      <w:r>
        <w:rPr>
          <w:rFonts w:cs="Tahoma" w:ascii="Tahoma" w:hAnsi="Tahoma"/>
          <w:sz w:val="20"/>
          <w:lang w:val="ru-RU"/>
        </w:rPr>
        <w:t xml:space="preserve"> Републике Србије се реализује кроз 18 регионалних система за снабдевање водом, а општина Беочин припада новосадском регионалном систему.</w:t>
      </w:r>
      <w:r>
        <w:rPr>
          <w:rFonts w:eastAsia="Calibri" w:cs="Tahoma" w:ascii="Tahoma" w:hAnsi="Tahoma"/>
          <w:sz w:val="20"/>
          <w:lang w:val="ru-RU"/>
        </w:rPr>
        <w:t xml:space="preserve"> </w:t>
      </w:r>
      <w:r>
        <w:rPr>
          <w:rFonts w:cs="Tahoma" w:ascii="Tahoma" w:hAnsi="Tahoma"/>
          <w:sz w:val="20"/>
          <w:lang w:val="ru-RU"/>
        </w:rPr>
        <w:t xml:space="preserve">Водоснабдевање на територији општине Беочин се обавља путем градског водовода који је под надлежношћу ЈКП „Беочин“. Овај водоводни систем покрива 5 месних заједница: Раковац, Беочин Село, Беочин Град, Бразилију и Черевић. Према Извештају о здравственој исправности воде за пиће јавних водовода и водних објеката у РС за 2022. годину (Институт за јавно здравље Србије „др Милан Јовановић Батут”), општина Беочин се налази међу општинама чији јавни водоводи показују само физичко-хемијску неисправност, а проценат неисправности износи 8,9%. Проценат прикључених домаћинстава на канализациону мрежу у 2021. години износи 63,9% прикључених од укупног броја домаћинстава на територији Општине. Укупан број прикључених домаћинстава на канализациону мрежу износи 3.524 домаћинства, док је укупна дужина канализационе мреже 78 </w:t>
      </w:r>
      <w:r>
        <w:rPr>
          <w:rFonts w:cs="Tahoma" w:ascii="Tahoma" w:hAnsi="Tahoma"/>
          <w:sz w:val="20"/>
        </w:rPr>
        <w:t>km</w:t>
      </w:r>
      <w:r>
        <w:rPr>
          <w:rFonts w:cs="Tahoma" w:ascii="Tahoma" w:hAnsi="Tahoma"/>
          <w:sz w:val="20"/>
          <w:lang w:val="ru-RU"/>
        </w:rPr>
        <w:t xml:space="preserve">. Општина Беочин на својој територији нема изграђен систем за пречишћавање отпадних вода. </w:t>
      </w:r>
    </w:p>
    <w:p>
      <w:pPr>
        <w:pStyle w:val="Normal"/>
        <w:spacing w:lineRule="auto" w:line="240" w:before="0" w:after="0"/>
        <w:jc w:val="both"/>
        <w:rPr>
          <w:rFonts w:ascii="Tahoma" w:hAnsi="Tahoma" w:eastAsia="TimesNewRomanPSMT" w:cs="Tahoma"/>
          <w:sz w:val="20"/>
          <w:lang w:val="sr-RS"/>
        </w:rPr>
      </w:pPr>
      <w:r>
        <w:rPr>
          <w:rFonts w:eastAsia="TimesNewRomanPSMT" w:cs="Tahoma" w:ascii="Tahoma" w:hAnsi="Tahoma"/>
          <w:sz w:val="20"/>
          <w:lang w:val="sr-RS"/>
        </w:rPr>
        <w:t xml:space="preserve">На основу </w:t>
      </w:r>
      <w:r>
        <w:rPr>
          <w:rFonts w:cs="Tahoma" w:ascii="Tahoma" w:hAnsi="Tahoma"/>
          <w:iCs/>
          <w:sz w:val="20"/>
          <w:lang w:val="sr-RS"/>
        </w:rPr>
        <w:t xml:space="preserve">Уредбе о </w:t>
      </w:r>
      <w:r>
        <w:rPr>
          <w:rFonts w:cs="Tahoma" w:ascii="Tahoma" w:hAnsi="Tahoma"/>
          <w:sz w:val="20"/>
          <w:lang w:val="sr-RS"/>
        </w:rPr>
        <w:t>утврђивању јединствене листе развијености региона и јединица локалне самоуправе за 2014. годину</w:t>
      </w:r>
      <w:r>
        <w:rPr>
          <w:rStyle w:val="FootnoteAnchor"/>
          <w:rFonts w:cs="Tahoma" w:ascii="Tahoma" w:hAnsi="Tahoma"/>
          <w:sz w:val="20"/>
          <w:lang w:val="sr-RS"/>
        </w:rPr>
        <w:footnoteReference w:id="61"/>
      </w:r>
      <w:r>
        <w:rPr>
          <w:rFonts w:cs="Tahoma" w:ascii="Tahoma" w:hAnsi="Tahoma"/>
          <w:sz w:val="20"/>
          <w:lang w:val="sr-RS"/>
        </w:rPr>
        <w:t xml:space="preserve">, </w:t>
      </w:r>
      <w:r>
        <w:rPr>
          <w:rFonts w:eastAsia="TimesNewRomanPSMT" w:cs="Tahoma" w:ascii="Tahoma" w:hAnsi="Tahoma"/>
          <w:sz w:val="20"/>
          <w:lang w:val="sr-RS"/>
        </w:rPr>
        <w:t xml:space="preserve">Општина Беочин припада </w:t>
      </w:r>
      <w:r>
        <w:rPr>
          <w:rFonts w:cs="Tahoma" w:ascii="Tahoma" w:hAnsi="Tahoma"/>
          <w:bCs/>
          <w:sz w:val="20"/>
          <w:lang w:val="sr-RS"/>
        </w:rPr>
        <w:t>првој групи развијености</w:t>
      </w:r>
      <w:r>
        <w:rPr>
          <w:rFonts w:eastAsia="TimesNewRomanPSMT" w:cs="Tahoma" w:ascii="Tahoma" w:hAnsi="Tahoma"/>
          <w:sz w:val="20"/>
          <w:lang w:val="sr-RS"/>
        </w:rPr>
        <w:t xml:space="preserve">, чији је степен изнад републичког просека, што није реално стање с обзиром на застарелост ове уредбе. </w:t>
      </w:r>
    </w:p>
    <w:p>
      <w:pPr>
        <w:pStyle w:val="Normal"/>
        <w:spacing w:lineRule="auto" w:line="240" w:before="0" w:after="0"/>
        <w:jc w:val="both"/>
        <w:rPr>
          <w:rFonts w:ascii="Tahoma" w:hAnsi="Tahoma" w:eastAsia="TimesNewRomanPSMT" w:cs="Tahoma"/>
          <w:sz w:val="20"/>
          <w:lang w:val="sr-RS"/>
        </w:rPr>
      </w:pPr>
      <w:r>
        <w:rPr>
          <w:rFonts w:eastAsia="TimesNewRomanPSMT" w:cs="Tahoma" w:ascii="Tahoma" w:hAnsi="Tahoma"/>
          <w:sz w:val="20"/>
          <w:lang w:val="sr-RS"/>
        </w:rPr>
      </w:r>
    </w:p>
    <w:p>
      <w:pPr>
        <w:pStyle w:val="Western"/>
        <w:spacing w:beforeAutospacing="0" w:before="10" w:after="0"/>
        <w:rPr>
          <w:rFonts w:ascii="Tahoma" w:hAnsi="Tahoma" w:cs="Tahoma"/>
          <w:sz w:val="20"/>
          <w:szCs w:val="22"/>
          <w:lang w:val="sr-CS"/>
        </w:rPr>
      </w:pPr>
      <w:r>
        <w:rPr>
          <w:rFonts w:cs="Tahoma" w:ascii="Tahoma" w:hAnsi="Tahoma"/>
          <w:b/>
          <w:iCs/>
          <w:sz w:val="20"/>
          <w:szCs w:val="22"/>
          <w:lang w:val="sr-RS"/>
        </w:rPr>
        <w:t>Демографске п</w:t>
      </w:r>
      <w:r>
        <w:rPr>
          <w:rFonts w:cs="Tahoma" w:ascii="Tahoma" w:hAnsi="Tahoma"/>
          <w:b/>
          <w:sz w:val="20"/>
          <w:szCs w:val="22"/>
          <w:lang w:val="sr-RS"/>
        </w:rPr>
        <w:t>одатке</w:t>
      </w:r>
      <w:r>
        <w:rPr>
          <w:rFonts w:cs="Tahoma" w:ascii="Tahoma" w:hAnsi="Tahoma"/>
          <w:sz w:val="20"/>
          <w:szCs w:val="22"/>
          <w:lang w:val="sr-RS"/>
        </w:rPr>
        <w:t xml:space="preserve"> о општини обезбеђује Републички завод за статистику (РЗС). Б</w:t>
      </w:r>
      <w:r>
        <w:rPr>
          <w:rFonts w:cs="Tahoma" w:ascii="Tahoma" w:hAnsi="Tahoma"/>
          <w:iCs/>
          <w:sz w:val="20"/>
          <w:szCs w:val="22"/>
          <w:lang w:val="sr-RS"/>
        </w:rPr>
        <w:t xml:space="preserve">рој становника у Општини Беочин, према Попису 2022. године је укупно 13872 (49,34% мушкарци, 50,66% жене). Просечна старост становништва је 43,79 година; жена 44,92 а мушкараца 42,63. </w:t>
      </w:r>
      <w:r>
        <w:rPr>
          <w:rFonts w:cs="Tahoma" w:ascii="Tahoma" w:hAnsi="Tahoma"/>
          <w:sz w:val="20"/>
          <w:szCs w:val="22"/>
          <w:lang w:val="sr-CS"/>
        </w:rPr>
        <w:t xml:space="preserve">За исту годину индекс старења </w:t>
      </w:r>
      <w:r>
        <w:rPr>
          <w:rFonts w:cs="Tahoma" w:ascii="Tahoma" w:hAnsi="Tahoma"/>
          <w:sz w:val="20"/>
          <w:szCs w:val="22"/>
          <w:lang w:val="sr-Latn-CS"/>
        </w:rPr>
        <w:t xml:space="preserve">износи </w:t>
      </w:r>
      <w:r>
        <w:rPr>
          <w:rFonts w:cs="Tahoma" w:ascii="Tahoma" w:hAnsi="Tahoma"/>
          <w:sz w:val="20"/>
          <w:szCs w:val="22"/>
          <w:lang w:val="sr-CS"/>
        </w:rPr>
        <w:t xml:space="preserve">145,3 </w:t>
      </w:r>
      <w:r>
        <w:rPr>
          <w:rFonts w:cs="Tahoma" w:ascii="Tahoma" w:hAnsi="Tahoma"/>
          <w:sz w:val="20"/>
          <w:szCs w:val="22"/>
          <w:lang w:val="sr-Latn-CS"/>
        </w:rPr>
        <w:t>и</w:t>
      </w:r>
      <w:r>
        <w:rPr>
          <w:rFonts w:cs="Tahoma" w:ascii="Tahoma" w:hAnsi="Tahoma"/>
          <w:sz w:val="20"/>
          <w:szCs w:val="22"/>
          <w:lang w:val="sr-CS"/>
        </w:rPr>
        <w:t xml:space="preserve"> он је изузетно висок</w:t>
      </w:r>
      <w:r>
        <w:rPr>
          <w:rFonts w:cs="Tahoma" w:ascii="Tahoma" w:hAnsi="Tahoma"/>
          <w:sz w:val="20"/>
          <w:szCs w:val="22"/>
          <w:lang w:val="sr-Latn-CS"/>
        </w:rPr>
        <w:t>.</w:t>
      </w:r>
      <w:r>
        <w:rPr>
          <w:rFonts w:cs="Tahoma" w:ascii="Tahoma" w:hAnsi="Tahoma"/>
          <w:sz w:val="20"/>
          <w:szCs w:val="22"/>
          <w:lang w:val="sr-CS"/>
        </w:rPr>
        <w:t xml:space="preserve"> О</w:t>
      </w:r>
      <w:r>
        <w:rPr>
          <w:rFonts w:cs="Tahoma" w:ascii="Tahoma" w:hAnsi="Tahoma"/>
          <w:sz w:val="20"/>
          <w:szCs w:val="22"/>
          <w:lang w:val="sr-Latn-CS"/>
        </w:rPr>
        <w:t>чекиван</w:t>
      </w:r>
      <w:r>
        <w:rPr>
          <w:rFonts w:cs="Tahoma" w:ascii="Tahoma" w:hAnsi="Tahoma"/>
          <w:sz w:val="20"/>
          <w:szCs w:val="22"/>
          <w:lang w:val="sr-CS"/>
        </w:rPr>
        <w:t xml:space="preserve">о трајање </w:t>
      </w:r>
      <w:r>
        <w:rPr>
          <w:rFonts w:cs="Tahoma" w:ascii="Tahoma" w:hAnsi="Tahoma"/>
          <w:sz w:val="20"/>
          <w:szCs w:val="22"/>
          <w:lang w:val="sr-Latn-CS"/>
        </w:rPr>
        <w:t xml:space="preserve">живота мушкарца је </w:t>
      </w:r>
      <w:r>
        <w:rPr>
          <w:rFonts w:cs="Tahoma" w:ascii="Tahoma" w:hAnsi="Tahoma"/>
          <w:sz w:val="20"/>
          <w:szCs w:val="22"/>
          <w:lang w:val="sr-CS"/>
        </w:rPr>
        <w:t>72,3</w:t>
      </w:r>
      <w:r>
        <w:rPr>
          <w:rFonts w:cs="Tahoma" w:ascii="Tahoma" w:hAnsi="Tahoma"/>
          <w:sz w:val="20"/>
          <w:szCs w:val="22"/>
          <w:lang w:val="sr-Latn-CS"/>
        </w:rPr>
        <w:t xml:space="preserve"> а жене </w:t>
      </w:r>
      <w:r>
        <w:rPr>
          <w:rFonts w:cs="Tahoma" w:ascii="Tahoma" w:hAnsi="Tahoma"/>
          <w:sz w:val="20"/>
          <w:szCs w:val="22"/>
          <w:lang w:val="sr-CS"/>
        </w:rPr>
        <w:t xml:space="preserve">77,3 </w:t>
      </w:r>
      <w:r>
        <w:rPr>
          <w:rFonts w:cs="Tahoma" w:ascii="Tahoma" w:hAnsi="Tahoma"/>
          <w:sz w:val="20"/>
          <w:szCs w:val="22"/>
          <w:lang w:val="sr-Latn-CS"/>
        </w:rPr>
        <w:t>година</w:t>
      </w:r>
      <w:r>
        <w:rPr>
          <w:rStyle w:val="FootnoteAnchor"/>
          <w:rFonts w:eastAsia="DejaVu Sans" w:cs="Tahoma" w:ascii="Tahoma" w:hAnsi="Tahoma" w:eastAsiaTheme="majorEastAsia"/>
          <w:sz w:val="20"/>
          <w:szCs w:val="22"/>
          <w:lang w:val="sr-Latn-CS"/>
        </w:rPr>
        <w:footnoteReference w:id="62"/>
      </w:r>
      <w:r>
        <w:rPr>
          <w:rFonts w:cs="Tahoma" w:ascii="Tahoma" w:hAnsi="Tahoma"/>
          <w:sz w:val="20"/>
          <w:szCs w:val="22"/>
          <w:lang w:val="sr-CS"/>
        </w:rPr>
        <w:t>.</w:t>
      </w:r>
    </w:p>
    <w:p>
      <w:pPr>
        <w:pStyle w:val="Normal"/>
        <w:spacing w:lineRule="auto" w:line="240" w:before="0" w:after="0"/>
        <w:jc w:val="both"/>
        <w:rPr>
          <w:rFonts w:ascii="Tahoma" w:hAnsi="Tahoma" w:eastAsia="TimesNewRomanPSMT" w:cs="Tahoma"/>
          <w:sz w:val="20"/>
          <w:lang w:val="sr-RS"/>
        </w:rPr>
      </w:pPr>
      <w:r>
        <w:rPr>
          <w:rFonts w:eastAsia="TimesNewRomanPSMT" w:cs="Tahoma" w:ascii="Tahoma" w:hAnsi="Tahoma"/>
          <w:sz w:val="20"/>
          <w:lang w:val="sr-RS"/>
        </w:rPr>
      </w:r>
    </w:p>
    <w:p>
      <w:pPr>
        <w:pStyle w:val="Normal"/>
        <w:spacing w:lineRule="auto" w:line="240" w:before="0" w:after="0"/>
        <w:jc w:val="both"/>
        <w:rPr>
          <w:rFonts w:ascii="Tahoma" w:hAnsi="Tahoma" w:eastAsia="TimesNewRomanPSMT" w:cs="Tahoma"/>
          <w:sz w:val="20"/>
          <w:lang w:val="sr-RS"/>
        </w:rPr>
      </w:pPr>
      <w:r>
        <w:rPr>
          <w:rFonts w:eastAsia="TimesNewRomanPSMT" w:cs="Tahoma" w:ascii="Tahoma" w:hAnsi="Tahoma"/>
          <w:sz w:val="20"/>
          <w:lang w:val="sr-RS"/>
        </w:rPr>
        <w:t xml:space="preserve">Просечна густина насељености је </w:t>
      </w:r>
      <w:r>
        <w:rPr>
          <w:rFonts w:eastAsia="TimesNewRomanPSMT" w:cs="Tahoma" w:ascii="Tahoma" w:hAnsi="Tahoma"/>
          <w:bCs/>
          <w:sz w:val="20"/>
          <w:lang w:val="sr-RS"/>
        </w:rPr>
        <w:t>75 становника на km2</w:t>
      </w:r>
      <w:r>
        <w:rPr>
          <w:rFonts w:eastAsia="TimesNewRomanPSMT" w:cs="Tahoma" w:ascii="Tahoma" w:hAnsi="Tahoma"/>
          <w:sz w:val="20"/>
          <w:lang w:val="sr-RS"/>
        </w:rPr>
        <w:t>, што територију сврстава у категорију руралног подручја (према OECD класификацији)</w:t>
      </w:r>
      <w:r>
        <w:rPr>
          <w:rStyle w:val="FootnoteAnchor"/>
          <w:rFonts w:eastAsia="TimesNewRomanPSMT" w:cs="Tahoma" w:ascii="Tahoma" w:hAnsi="Tahoma"/>
          <w:sz w:val="20"/>
          <w:lang w:val="sr-RS"/>
        </w:rPr>
        <w:footnoteReference w:id="63"/>
      </w:r>
      <w:r>
        <w:rPr>
          <w:rFonts w:eastAsia="TimesNewRomanPSMT" w:cs="Tahoma" w:ascii="Tahoma" w:hAnsi="Tahoma"/>
          <w:sz w:val="20"/>
          <w:lang w:val="sr-RS"/>
        </w:rPr>
        <w:t xml:space="preserve">.  Од укупног броја становника, њих 7250 (52%) живи у градском насељу, док њих 6587 (48%) живи у осталим/сеоским насељима. </w:t>
      </w:r>
    </w:p>
    <w:p>
      <w:pPr>
        <w:pStyle w:val="Western"/>
        <w:spacing w:beforeAutospacing="0" w:before="0" w:after="0"/>
        <w:rPr>
          <w:rFonts w:ascii="Tahoma" w:hAnsi="Tahoma" w:eastAsia="TimesNewRomanPSMT" w:cs="Tahoma"/>
          <w:sz w:val="20"/>
          <w:szCs w:val="22"/>
          <w:lang w:val="sr-RS"/>
        </w:rPr>
      </w:pPr>
      <w:r>
        <w:rPr>
          <w:rFonts w:eastAsia="TimesNewRomanPSMT" w:cs="Tahoma" w:ascii="Tahoma" w:hAnsi="Tahoma"/>
          <w:sz w:val="20"/>
          <w:szCs w:val="22"/>
          <w:lang w:val="sr-RS"/>
        </w:rPr>
      </w:r>
    </w:p>
    <w:p>
      <w:pPr>
        <w:pStyle w:val="Western"/>
        <w:spacing w:beforeAutospacing="0" w:before="0" w:after="0"/>
        <w:rPr>
          <w:rFonts w:ascii="Tahoma" w:hAnsi="Tahoma" w:cs="Tahoma"/>
          <w:sz w:val="20"/>
          <w:szCs w:val="22"/>
          <w:lang w:val="sr-RS"/>
        </w:rPr>
      </w:pPr>
      <w:r>
        <w:rPr>
          <w:rFonts w:eastAsia="TimesNewRomanPSMT" w:cs="Tahoma" w:ascii="Tahoma" w:hAnsi="Tahoma"/>
          <w:sz w:val="20"/>
          <w:szCs w:val="22"/>
          <w:lang w:val="sr-RS"/>
        </w:rPr>
        <w:t xml:space="preserve">Општину карактеришу неповољни демографски трендови и процеси. </w:t>
      </w:r>
      <w:r>
        <w:rPr>
          <w:rFonts w:eastAsia="TimesNewRomanPSMT" w:cs="Tahoma" w:ascii="Tahoma" w:hAnsi="Tahoma"/>
          <w:bCs/>
          <w:sz w:val="20"/>
          <w:szCs w:val="22"/>
          <w:lang w:val="sr-RS"/>
        </w:rPr>
        <w:t>Депопулација становништва, негативан природни прираштај, старење становништва, миграције</w:t>
      </w:r>
      <w:r>
        <w:rPr>
          <w:rFonts w:eastAsia="TimesNewRomanPSMT" w:cs="Tahoma" w:ascii="Tahoma" w:hAnsi="Tahoma"/>
          <w:b/>
          <w:bCs/>
          <w:sz w:val="20"/>
          <w:szCs w:val="22"/>
          <w:lang w:val="sr-RS"/>
        </w:rPr>
        <w:t xml:space="preserve"> </w:t>
      </w:r>
      <w:r>
        <w:rPr>
          <w:rFonts w:eastAsia="TimesNewRomanPSMT" w:cs="Tahoma" w:ascii="Tahoma" w:hAnsi="Tahoma"/>
          <w:sz w:val="20"/>
          <w:szCs w:val="22"/>
          <w:lang w:val="sr-RS"/>
        </w:rPr>
        <w:t xml:space="preserve">су само неке од негативних појава које деценијама погађају општину Беочин, као и највећи број општина у Републици Србији. </w:t>
      </w:r>
      <w:r>
        <w:rPr>
          <w:rFonts w:cs="Tahoma" w:ascii="Tahoma" w:hAnsi="Tahoma"/>
          <w:sz w:val="20"/>
          <w:szCs w:val="22"/>
          <w:lang w:val="sr-CS"/>
        </w:rPr>
        <w:t>Број живорођених, у Општини Беочин у 2022. години је износио 133 (од чега је 69 брачн</w:t>
      </w:r>
      <w:r>
        <w:rPr>
          <w:rFonts w:cs="Tahoma" w:ascii="Tahoma" w:hAnsi="Tahoma"/>
          <w:sz w:val="20"/>
          <w:szCs w:val="22"/>
          <w:lang w:val="sr-Latn-CS"/>
        </w:rPr>
        <w:t>e</w:t>
      </w:r>
      <w:r>
        <w:rPr>
          <w:rFonts w:cs="Tahoma" w:ascii="Tahoma" w:hAnsi="Tahoma"/>
          <w:sz w:val="20"/>
          <w:szCs w:val="22"/>
          <w:lang w:val="sr-CS"/>
        </w:rPr>
        <w:t xml:space="preserve"> деце, а 64 ванбрачне), а број умрлих 191. Природни прираштај је негативан и износи - 58. Посматрано у целини, становништво на овом подручју се природним путем не обнавља. Већ дужи низ година нема чак ни просте репродукције становништва</w:t>
      </w:r>
      <w:r>
        <w:rPr>
          <w:rStyle w:val="FootnoteAnchor"/>
          <w:rFonts w:eastAsia="DejaVu Sans" w:cs="Tahoma" w:ascii="Tahoma" w:hAnsi="Tahoma" w:eastAsiaTheme="majorEastAsia"/>
          <w:sz w:val="20"/>
          <w:szCs w:val="22"/>
          <w:lang w:val="sr-CS"/>
        </w:rPr>
        <w:footnoteReference w:id="64"/>
      </w:r>
      <w:r>
        <w:rPr>
          <w:rFonts w:cs="Tahoma" w:ascii="Tahoma" w:hAnsi="Tahoma"/>
          <w:sz w:val="20"/>
          <w:szCs w:val="22"/>
          <w:lang w:val="sr-CS"/>
        </w:rPr>
        <w:t>.</w:t>
      </w:r>
      <w:r>
        <w:rPr>
          <w:rFonts w:cs="Tahoma" w:ascii="Tahoma" w:hAnsi="Tahoma"/>
          <w:sz w:val="20"/>
          <w:szCs w:val="22"/>
          <w:lang w:val="sr-RS"/>
        </w:rPr>
        <w:t xml:space="preserve"> </w:t>
      </w:r>
    </w:p>
    <w:p>
      <w:pPr>
        <w:pStyle w:val="Western"/>
        <w:spacing w:beforeAutospacing="0" w:before="0" w:after="0"/>
        <w:rPr>
          <w:rFonts w:ascii="Tahoma" w:hAnsi="Tahoma" w:cs="Tahoma"/>
          <w:sz w:val="20"/>
          <w:szCs w:val="22"/>
          <w:lang w:val="sr-RS"/>
        </w:rPr>
      </w:pPr>
      <w:r>
        <w:rPr>
          <w:rFonts w:cs="Tahoma" w:ascii="Tahoma" w:hAnsi="Tahoma"/>
          <w:sz w:val="20"/>
          <w:szCs w:val="22"/>
          <w:lang w:val="sr-RS"/>
        </w:rPr>
      </w:r>
    </w:p>
    <w:p>
      <w:pPr>
        <w:pStyle w:val="Normal"/>
        <w:spacing w:before="0" w:after="0"/>
        <w:rPr>
          <w:rFonts w:ascii="Tahoma" w:hAnsi="Tahoma" w:cs="Tahoma"/>
          <w:i/>
          <w:i/>
          <w:iCs/>
          <w:color w:val="1F4E79" w:themeColor="accent5" w:themeShade="80"/>
          <w:szCs w:val="20"/>
          <w:lang w:val="sr-RS"/>
        </w:rPr>
      </w:pPr>
      <w:r>
        <w:rPr>
          <w:rFonts w:eastAsia="Times New Roman" w:cs="Tahoma" w:ascii="Tahoma" w:hAnsi="Tahoma"/>
          <w:bCs/>
          <w:i/>
          <w:color w:val="1F4E79" w:themeColor="accent5" w:themeShade="80"/>
          <w:sz w:val="18"/>
          <w:szCs w:val="18"/>
          <w:lang w:val="sr-CS" w:eastAsia="sr-Latn-RS"/>
        </w:rPr>
        <w:t>Табела</w:t>
      </w:r>
      <w:r>
        <w:rPr>
          <w:rFonts w:eastAsia="Times New Roman" w:cs="Tahoma" w:ascii="Tahoma" w:hAnsi="Tahoma"/>
          <w:bCs/>
          <w:i/>
          <w:color w:val="1F4E79" w:themeColor="accent5" w:themeShade="80"/>
          <w:sz w:val="18"/>
          <w:szCs w:val="18"/>
          <w:lang w:val="sr-Latn-RS" w:eastAsia="sr-Latn-RS"/>
        </w:rPr>
        <w:t xml:space="preserve"> 2</w:t>
      </w:r>
      <w:r>
        <w:rPr>
          <w:rFonts w:eastAsia="Times New Roman" w:cs="Tahoma" w:ascii="Tahoma" w:hAnsi="Tahoma"/>
          <w:bCs/>
          <w:i/>
          <w:color w:val="1F4E79" w:themeColor="accent5" w:themeShade="80"/>
          <w:sz w:val="18"/>
          <w:szCs w:val="18"/>
          <w:lang w:val="sr-CS" w:eastAsia="sr-Latn-RS"/>
        </w:rPr>
        <w:t>: Становништво по старосним групама, апсолутна вредност и удео у укупном становништву</w:t>
      </w:r>
    </w:p>
    <w:tbl>
      <w:tblPr>
        <w:tblW w:w="9955" w:type="dxa"/>
        <w:jc w:val="center"/>
        <w:tblInd w:w="0" w:type="dxa"/>
        <w:tblLayout w:type="fixed"/>
        <w:tblCellMar>
          <w:top w:w="75" w:type="dxa"/>
          <w:start w:w="75" w:type="dxa"/>
          <w:bottom w:w="75" w:type="dxa"/>
          <w:end w:w="75" w:type="dxa"/>
        </w:tblCellMar>
        <w:tblLook w:firstRow="1" w:noVBand="1" w:lastRow="0" w:firstColumn="1" w:lastColumn="0" w:noHBand="0" w:val="04a0"/>
      </w:tblPr>
      <w:tblGrid>
        <w:gridCol w:w="1330"/>
        <w:gridCol w:w="991"/>
        <w:gridCol w:w="656"/>
        <w:gridCol w:w="716"/>
        <w:gridCol w:w="696"/>
        <w:gridCol w:w="696"/>
        <w:gridCol w:w="714"/>
        <w:gridCol w:w="677"/>
        <w:gridCol w:w="656"/>
        <w:gridCol w:w="715"/>
        <w:gridCol w:w="697"/>
        <w:gridCol w:w="709"/>
        <w:gridCol w:w="701"/>
      </w:tblGrid>
      <w:tr>
        <w:trPr/>
        <w:tc>
          <w:tcPr>
            <w:tcW w:w="1330" w:type="dxa"/>
            <w:vMerge w:val="restart"/>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ind w:start="-224" w:firstLine="224"/>
              <w:jc w:val="center"/>
              <w:rPr>
                <w:rFonts w:ascii="Tahoma" w:hAnsi="Tahoma" w:eastAsia="Times New Roman" w:cs="Tahoma"/>
                <w:b/>
                <w:b/>
                <w:bCs/>
                <w:sz w:val="16"/>
                <w:szCs w:val="16"/>
                <w:lang w:val="sr-CS" w:eastAsia="sr-Latn-RS"/>
              </w:rPr>
            </w:pPr>
            <w:r>
              <w:rPr>
                <w:rFonts w:eastAsia="Times New Roman" w:cs="Tahoma" w:ascii="Tahoma" w:hAnsi="Tahoma"/>
                <w:b/>
                <w:bCs/>
                <w:sz w:val="16"/>
                <w:szCs w:val="16"/>
                <w:lang w:val="sr-CS" w:eastAsia="sr-Latn-RS"/>
              </w:rPr>
              <w:t>Старосне групе</w:t>
            </w:r>
          </w:p>
        </w:tc>
        <w:tc>
          <w:tcPr>
            <w:tcW w:w="4469" w:type="dxa"/>
            <w:gridSpan w:val="6"/>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6"/>
                <w:szCs w:val="18"/>
                <w:lang w:val="sr-CS" w:eastAsia="sr-Latn-RS"/>
              </w:rPr>
            </w:pPr>
            <w:r>
              <w:rPr>
                <w:rFonts w:eastAsia="Times New Roman" w:cs="Tahoma" w:ascii="Tahoma" w:hAnsi="Tahoma"/>
                <w:b/>
                <w:bCs/>
                <w:color w:val="000000"/>
                <w:sz w:val="16"/>
                <w:szCs w:val="18"/>
                <w:lang w:val="sr-CS" w:eastAsia="sr-Latn-RS"/>
              </w:rPr>
              <w:t>2011</w:t>
            </w:r>
          </w:p>
        </w:tc>
        <w:tc>
          <w:tcPr>
            <w:tcW w:w="4155" w:type="dxa"/>
            <w:gridSpan w:val="6"/>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6"/>
                <w:szCs w:val="18"/>
                <w:lang w:val="sr-CS" w:eastAsia="sr-Latn-RS"/>
              </w:rPr>
            </w:pPr>
            <w:r>
              <w:rPr>
                <w:rFonts w:eastAsia="Times New Roman" w:cs="Tahoma" w:ascii="Tahoma" w:hAnsi="Tahoma"/>
                <w:b/>
                <w:bCs/>
                <w:color w:val="000000"/>
                <w:sz w:val="16"/>
                <w:szCs w:val="18"/>
                <w:lang w:val="sr-CS" w:eastAsia="sr-Latn-RS"/>
              </w:rPr>
              <w:t>2022</w:t>
            </w:r>
          </w:p>
        </w:tc>
      </w:tr>
      <w:tr>
        <w:trPr/>
        <w:tc>
          <w:tcPr>
            <w:tcW w:w="1330" w:type="dxa"/>
            <w:vMerge w:val="continue"/>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eastAsia="Times New Roman" w:cs="Tahoma" w:ascii="Tahoma" w:hAnsi="Tahoma"/>
                <w:b/>
                <w:bCs/>
                <w:sz w:val="16"/>
                <w:szCs w:val="16"/>
                <w:lang w:val="sr-CS" w:eastAsia="sr-Latn-RS"/>
              </w:rPr>
            </w:r>
          </w:p>
        </w:tc>
        <w:tc>
          <w:tcPr>
            <w:tcW w:w="2363" w:type="dxa"/>
            <w:gridSpan w:val="3"/>
            <w:tcBorders>
              <w:top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6"/>
                <w:szCs w:val="18"/>
                <w:lang w:val="sr-CS" w:eastAsia="sr-Latn-RS"/>
              </w:rPr>
            </w:pPr>
            <w:r>
              <w:rPr>
                <w:rFonts w:eastAsia="Times New Roman" w:cs="Tahoma" w:ascii="Tahoma" w:hAnsi="Tahoma"/>
                <w:b/>
                <w:bCs/>
                <w:color w:val="000000"/>
                <w:sz w:val="16"/>
                <w:szCs w:val="18"/>
                <w:lang w:val="sr-CS" w:eastAsia="sr-Latn-RS"/>
              </w:rPr>
              <w:t>Број становника</w:t>
            </w:r>
          </w:p>
        </w:tc>
        <w:tc>
          <w:tcPr>
            <w:tcW w:w="2106" w:type="dxa"/>
            <w:gridSpan w:val="3"/>
            <w:tcBorders>
              <w:top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6"/>
                <w:szCs w:val="18"/>
                <w:lang w:val="sr-CS" w:eastAsia="sr-Latn-RS"/>
              </w:rPr>
            </w:pPr>
            <w:r>
              <w:rPr>
                <w:rFonts w:eastAsia="Times New Roman" w:cs="Tahoma" w:ascii="Tahoma" w:hAnsi="Tahoma"/>
                <w:b/>
                <w:bCs/>
                <w:color w:val="000000"/>
                <w:sz w:val="16"/>
                <w:szCs w:val="18"/>
                <w:lang w:val="sr-CS" w:eastAsia="sr-Latn-RS"/>
              </w:rPr>
              <w:t>Удео у укупном становништву, %</w:t>
            </w:r>
          </w:p>
        </w:tc>
        <w:tc>
          <w:tcPr>
            <w:tcW w:w="2048" w:type="dxa"/>
            <w:gridSpan w:val="3"/>
            <w:tcBorders>
              <w:top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6"/>
                <w:szCs w:val="18"/>
                <w:lang w:val="sr-CS" w:eastAsia="sr-Latn-RS"/>
              </w:rPr>
            </w:pPr>
            <w:r>
              <w:rPr>
                <w:rFonts w:eastAsia="Times New Roman" w:cs="Tahoma" w:ascii="Tahoma" w:hAnsi="Tahoma"/>
                <w:b/>
                <w:bCs/>
                <w:color w:val="000000"/>
                <w:sz w:val="16"/>
                <w:szCs w:val="18"/>
                <w:lang w:val="sr-CS" w:eastAsia="sr-Latn-RS"/>
              </w:rPr>
              <w:t>Број становника</w:t>
            </w:r>
          </w:p>
        </w:tc>
        <w:tc>
          <w:tcPr>
            <w:tcW w:w="2107" w:type="dxa"/>
            <w:gridSpan w:val="3"/>
            <w:tcBorders>
              <w:top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6"/>
                <w:szCs w:val="18"/>
                <w:lang w:val="sr-CS" w:eastAsia="sr-Latn-RS"/>
              </w:rPr>
            </w:pPr>
            <w:r>
              <w:rPr>
                <w:rFonts w:eastAsia="Times New Roman" w:cs="Tahoma" w:ascii="Tahoma" w:hAnsi="Tahoma"/>
                <w:b/>
                <w:bCs/>
                <w:color w:val="000000"/>
                <w:sz w:val="16"/>
                <w:szCs w:val="18"/>
                <w:lang w:val="sr-CS" w:eastAsia="sr-Latn-RS"/>
              </w:rPr>
              <w:t>Удео у укупном становништву, %</w:t>
            </w:r>
          </w:p>
        </w:tc>
      </w:tr>
      <w:tr>
        <w:trPr/>
        <w:tc>
          <w:tcPr>
            <w:tcW w:w="1330" w:type="dxa"/>
            <w:vMerge w:val="continue"/>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sz w:val="14"/>
                <w:szCs w:val="16"/>
                <w:lang w:val="sr-CS" w:eastAsia="sr-Latn-RS"/>
              </w:rPr>
            </w:pPr>
            <w:r>
              <w:rPr>
                <w:rFonts w:eastAsia="Times New Roman" w:cs="Tahoma" w:ascii="Tahoma" w:hAnsi="Tahoma"/>
                <w:b/>
                <w:bCs/>
                <w:sz w:val="14"/>
                <w:szCs w:val="16"/>
                <w:lang w:val="sr-CS" w:eastAsia="sr-Latn-RS"/>
              </w:rPr>
            </w:r>
          </w:p>
        </w:tc>
        <w:tc>
          <w:tcPr>
            <w:tcW w:w="991"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Укупно</w:t>
            </w:r>
          </w:p>
        </w:tc>
        <w:tc>
          <w:tcPr>
            <w:tcW w:w="656"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Мушко</w:t>
            </w:r>
          </w:p>
        </w:tc>
        <w:tc>
          <w:tcPr>
            <w:tcW w:w="716"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Женско</w:t>
            </w:r>
          </w:p>
        </w:tc>
        <w:tc>
          <w:tcPr>
            <w:tcW w:w="696"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Укупно</w:t>
            </w:r>
          </w:p>
        </w:tc>
        <w:tc>
          <w:tcPr>
            <w:tcW w:w="696"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Мушко</w:t>
            </w:r>
          </w:p>
        </w:tc>
        <w:tc>
          <w:tcPr>
            <w:tcW w:w="714"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Женско</w:t>
            </w:r>
          </w:p>
        </w:tc>
        <w:tc>
          <w:tcPr>
            <w:tcW w:w="677"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Укупно</w:t>
            </w:r>
          </w:p>
        </w:tc>
        <w:tc>
          <w:tcPr>
            <w:tcW w:w="656"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Мушко</w:t>
            </w:r>
          </w:p>
        </w:tc>
        <w:tc>
          <w:tcPr>
            <w:tcW w:w="715"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Женско</w:t>
            </w:r>
          </w:p>
        </w:tc>
        <w:tc>
          <w:tcPr>
            <w:tcW w:w="697"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Укупно</w:t>
            </w:r>
          </w:p>
        </w:tc>
        <w:tc>
          <w:tcPr>
            <w:tcW w:w="709"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Мушко</w:t>
            </w:r>
          </w:p>
        </w:tc>
        <w:tc>
          <w:tcPr>
            <w:tcW w:w="701" w:type="dxa"/>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jc w:val="center"/>
              <w:rPr>
                <w:rFonts w:ascii="Tahoma" w:hAnsi="Tahoma" w:eastAsia="Times New Roman" w:cs="Tahoma"/>
                <w:b/>
                <w:b/>
                <w:bCs/>
                <w:color w:val="000000"/>
                <w:sz w:val="14"/>
                <w:szCs w:val="18"/>
                <w:lang w:val="sr-CS" w:eastAsia="sr-Latn-RS"/>
              </w:rPr>
            </w:pPr>
            <w:r>
              <w:rPr>
                <w:rFonts w:eastAsia="Times New Roman" w:cs="Tahoma" w:ascii="Tahoma" w:hAnsi="Tahoma"/>
                <w:b/>
                <w:bCs/>
                <w:color w:val="000000"/>
                <w:sz w:val="14"/>
                <w:szCs w:val="18"/>
                <w:lang w:val="sr-CS" w:eastAsia="sr-Latn-RS"/>
              </w:rPr>
              <w:t>Женско</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Укупно</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15716</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7807</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7909</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100.00</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100.00</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100.00</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13872</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6845</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7027</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100.00</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100.00</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100.00</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0–14 година</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2486</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1274</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1212</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15.82</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16.32</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15.32</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2070</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1036</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1034</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14.93</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15.14</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14.72</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0–19 година</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3461</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1790</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1671</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22.02</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22.93</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21.12</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2817</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1430</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1387</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20.31</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20.90</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19.74</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0</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144</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75</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69</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0.92</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0.96</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0.87</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133</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65</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68</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0.96</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0.95</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0.97</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0–2</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465</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244</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221</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2.96</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3.13</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2.79</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425</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219</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206</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3.06</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3.20</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2.94</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03–6</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663</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350</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313</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4.21</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4.47</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3.96</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526</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277</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249</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3.79</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04.04</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3.55</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7–14</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1358</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680</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678</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8.64</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8.72</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8.57</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1119</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540</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579</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8.07</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7.90</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8.24</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15–18</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771</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411</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360</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4.90</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5.27</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4.55</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591</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313</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278</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4.26</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4.58</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3.95</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15–49</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7276</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3797</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3479</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46.28</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48.64</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43.99</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5607</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2886</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2721</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40.42</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42.17</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38.71</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15–64 године</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10862</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5547</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5315</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69.10</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71.06</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67.20</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8909</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4538</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4371</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64.23</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66.30</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62.19</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60 и више година</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3433</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1476</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1957</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21.83</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18.91</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24.74</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4093</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1834</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2259</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29.50</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26.79</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32.15</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65 и више година</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2368</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986</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1382</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15.05</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12.63</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17.47</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2893</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1271</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1622</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20.85</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18.57</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23.08</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75 и више година</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913</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325</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588</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5.80</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4.16</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7.43</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995</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399</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596</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7.17</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5.83</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8.48</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80 и више</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389</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113</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276</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2.47</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1.44</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3.49</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539</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206</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333</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3.88</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3.01</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CS"/>
              </w:rPr>
              <w:t>4.74</w:t>
            </w:r>
          </w:p>
        </w:tc>
      </w:tr>
      <w:tr>
        <w:trPr/>
        <w:tc>
          <w:tcPr>
            <w:tcW w:w="133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sz w:val="16"/>
                <w:szCs w:val="16"/>
                <w:lang w:val="sr-CS" w:eastAsia="sr-Latn-RS"/>
              </w:rPr>
            </w:pPr>
            <w:r>
              <w:rPr>
                <w:rFonts w:cs="Tahoma" w:ascii="Tahoma" w:hAnsi="Tahoma"/>
                <w:b/>
                <w:bCs/>
                <w:sz w:val="16"/>
                <w:szCs w:val="16"/>
                <w:lang w:val="sr-CS"/>
              </w:rPr>
              <w:t>85 и више</w:t>
            </w:r>
          </w:p>
        </w:tc>
        <w:tc>
          <w:tcPr>
            <w:tcW w:w="99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111</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33</w:t>
            </w:r>
          </w:p>
        </w:tc>
        <w:tc>
          <w:tcPr>
            <w:tcW w:w="71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78</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0.70</w:t>
            </w:r>
          </w:p>
        </w:tc>
        <w:tc>
          <w:tcPr>
            <w:tcW w:w="69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0.42</w:t>
            </w:r>
          </w:p>
        </w:tc>
        <w:tc>
          <w:tcPr>
            <w:tcW w:w="71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0.99</w:t>
            </w:r>
          </w:p>
        </w:tc>
        <w:tc>
          <w:tcPr>
            <w:tcW w:w="67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184</w:t>
            </w:r>
          </w:p>
        </w:tc>
        <w:tc>
          <w:tcPr>
            <w:tcW w:w="65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61</w:t>
            </w:r>
          </w:p>
        </w:tc>
        <w:tc>
          <w:tcPr>
            <w:tcW w:w="7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123</w:t>
            </w:r>
          </w:p>
        </w:tc>
        <w:tc>
          <w:tcPr>
            <w:tcW w:w="69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RS"/>
              </w:rPr>
              <w:t>1</w:t>
            </w:r>
            <w:r>
              <w:rPr>
                <w:rFonts w:cs="Tahoma" w:ascii="Tahoma" w:hAnsi="Tahoma"/>
                <w:sz w:val="18"/>
                <w:szCs w:val="18"/>
              </w:rPr>
              <w:t>.32</w:t>
            </w:r>
          </w:p>
        </w:tc>
        <w:tc>
          <w:tcPr>
            <w:tcW w:w="709"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rPr>
              <w:t>0.89</w:t>
            </w:r>
          </w:p>
        </w:tc>
        <w:tc>
          <w:tcPr>
            <w:tcW w:w="70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sz w:val="18"/>
                <w:szCs w:val="18"/>
                <w:lang w:val="sr-CS" w:eastAsia="sr-Latn-RS"/>
              </w:rPr>
            </w:pPr>
            <w:r>
              <w:rPr>
                <w:rFonts w:cs="Tahoma" w:ascii="Tahoma" w:hAnsi="Tahoma"/>
                <w:sz w:val="18"/>
                <w:szCs w:val="18"/>
                <w:lang w:val="sr-RS"/>
              </w:rPr>
              <w:t>1</w:t>
            </w:r>
            <w:r>
              <w:rPr>
                <w:rFonts w:cs="Tahoma" w:ascii="Tahoma" w:hAnsi="Tahoma"/>
                <w:sz w:val="18"/>
                <w:szCs w:val="18"/>
              </w:rPr>
              <w:t>.75</w:t>
            </w:r>
          </w:p>
        </w:tc>
      </w:tr>
    </w:tbl>
    <w:p>
      <w:pPr>
        <w:pStyle w:val="Normal"/>
        <w:spacing w:lineRule="auto" w:line="240" w:before="0" w:after="0"/>
        <w:jc w:val="end"/>
        <w:rPr>
          <w:rFonts w:ascii="Tahoma" w:hAnsi="Tahoma" w:eastAsia="Times New Roman" w:cs="Tahoma"/>
          <w:i/>
          <w:i/>
          <w:kern w:val="0"/>
          <w:sz w:val="20"/>
          <w:lang w:val="sr-RS"/>
          <w14:ligatures w14:val="none"/>
        </w:rPr>
      </w:pPr>
      <w:r>
        <w:rPr>
          <w:rFonts w:eastAsia="Times New Roman" w:cs="Tahoma" w:ascii="Tahoma" w:hAnsi="Tahoma"/>
          <w:i/>
          <w:kern w:val="0"/>
          <w:sz w:val="20"/>
          <w:lang w:val="sr-RS"/>
          <w14:ligatures w14:val="none"/>
        </w:rPr>
        <w:t>Извор: РЗС</w:t>
      </w:r>
      <w:r>
        <w:rPr>
          <w:rStyle w:val="FootnoteAnchor"/>
          <w:rFonts w:eastAsia="Times New Roman" w:cs="Tahoma" w:ascii="Tahoma" w:hAnsi="Tahoma"/>
          <w:i/>
          <w:kern w:val="0"/>
          <w:sz w:val="20"/>
          <w:lang w:val="sr-RS"/>
          <w14:ligatures w14:val="none"/>
        </w:rPr>
        <w:footnoteReference w:id="65"/>
      </w:r>
    </w:p>
    <w:p>
      <w:pPr>
        <w:pStyle w:val="Normal"/>
        <w:spacing w:lineRule="auto" w:line="240" w:before="0" w:after="0"/>
        <w:jc w:val="end"/>
        <w:rPr>
          <w:rFonts w:ascii="Tahoma" w:hAnsi="Tahoma" w:eastAsia="Times New Roman" w:cs="Tahoma"/>
          <w:i/>
          <w:i/>
          <w:kern w:val="0"/>
          <w:sz w:val="20"/>
          <w:lang w:val="sr-RS"/>
          <w14:ligatures w14:val="none"/>
        </w:rPr>
      </w:pPr>
      <w:r>
        <w:rPr>
          <w:rFonts w:eastAsia="Times New Roman" w:cs="Tahoma" w:ascii="Tahoma" w:hAnsi="Tahoma"/>
          <w:i/>
          <w:kern w:val="0"/>
          <w:sz w:val="20"/>
          <w:lang w:val="sr-RS"/>
          <w14:ligatures w14:val="none"/>
        </w:rPr>
      </w:r>
    </w:p>
    <w:p>
      <w:pPr>
        <w:pStyle w:val="Western"/>
        <w:spacing w:beforeAutospacing="0" w:before="10" w:after="0"/>
        <w:rPr>
          <w:rFonts w:ascii="Tahoma" w:hAnsi="Tahoma" w:cs="Tahoma"/>
          <w:sz w:val="20"/>
          <w:szCs w:val="20"/>
          <w:lang w:val="sr-Latn-RS"/>
        </w:rPr>
      </w:pPr>
      <w:r>
        <w:rPr>
          <w:rFonts w:cs="Tahoma" w:ascii="Tahoma" w:hAnsi="Tahoma"/>
          <w:sz w:val="20"/>
          <w:szCs w:val="20"/>
          <w:lang w:val="sr-CS"/>
        </w:rPr>
        <w:t>Процене РЗС за 2023. годину се не разликују значајно кад је у питању удео  старосних група становништва у укупном становништву општине Беочин</w:t>
      </w:r>
      <w:r>
        <w:rPr>
          <w:rFonts w:cs="Tahoma" w:ascii="Tahoma" w:hAnsi="Tahoma"/>
          <w:sz w:val="20"/>
          <w:szCs w:val="20"/>
          <w:lang w:val="sr-Latn-RS"/>
        </w:rPr>
        <w:t>:</w:t>
      </w:r>
    </w:p>
    <w:p>
      <w:pPr>
        <w:pStyle w:val="Western"/>
        <w:spacing w:beforeAutospacing="0" w:before="10" w:after="0"/>
        <w:rPr>
          <w:rFonts w:ascii="Tahoma" w:hAnsi="Tahoma" w:cs="Tahoma"/>
          <w:sz w:val="20"/>
          <w:szCs w:val="20"/>
          <w:lang w:val="sr-Latn-RS"/>
        </w:rPr>
      </w:pPr>
      <w:r>
        <w:rPr>
          <w:rFonts w:cs="Tahoma" w:ascii="Tahoma" w:hAnsi="Tahoma"/>
          <w:sz w:val="20"/>
          <w:szCs w:val="20"/>
          <w:lang w:val="sr-Latn-RS"/>
        </w:rPr>
      </w:r>
    </w:p>
    <w:p>
      <w:pPr>
        <w:pStyle w:val="Western"/>
        <w:spacing w:beforeAutospacing="0" w:before="10" w:after="0"/>
        <w:jc w:val="start"/>
        <w:rPr>
          <w:rFonts w:ascii="Tahoma" w:hAnsi="Tahoma" w:cs="Tahoma"/>
          <w:i/>
          <w:i/>
          <w:color w:val="1F4E79" w:themeColor="accent5" w:themeShade="80"/>
          <w:sz w:val="16"/>
          <w:szCs w:val="20"/>
          <w:lang w:val="sr-RS"/>
        </w:rPr>
      </w:pPr>
      <w:r>
        <w:rPr>
          <w:rFonts w:cs="Tahoma" w:ascii="Tahoma" w:hAnsi="Tahoma"/>
          <w:i/>
          <w:color w:val="1F4E79" w:themeColor="accent5" w:themeShade="80"/>
          <w:sz w:val="18"/>
          <w:szCs w:val="20"/>
          <w:lang w:val="sr-CS"/>
        </w:rPr>
        <w:t xml:space="preserve">Табела </w:t>
      </w:r>
      <w:r>
        <w:rPr>
          <w:rFonts w:cs="Tahoma" w:ascii="Tahoma" w:hAnsi="Tahoma"/>
          <w:i/>
          <w:color w:val="1F4E79" w:themeColor="accent5" w:themeShade="80"/>
          <w:sz w:val="18"/>
          <w:szCs w:val="20"/>
          <w:lang w:val="sr-Latn-RS"/>
        </w:rPr>
        <w:t>3</w:t>
      </w:r>
      <w:r>
        <w:rPr>
          <w:rFonts w:cs="Tahoma" w:ascii="Tahoma" w:hAnsi="Tahoma"/>
          <w:i/>
          <w:color w:val="1F4E79" w:themeColor="accent5" w:themeShade="80"/>
          <w:sz w:val="18"/>
          <w:szCs w:val="20"/>
          <w:lang w:val="sr-CS"/>
        </w:rPr>
        <w:t>:                                                                                             Графикон 1:</w:t>
      </w:r>
    </w:p>
    <w:p>
      <w:pPr>
        <w:pStyle w:val="Western"/>
        <w:spacing w:beforeAutospacing="0" w:before="10" w:after="0"/>
        <w:rPr>
          <w:rFonts w:ascii="Tahoma" w:hAnsi="Tahoma" w:cs="Tahoma"/>
          <w:sz w:val="20"/>
          <w:szCs w:val="22"/>
          <w:lang w:val="sr-CS"/>
        </w:rPr>
      </w:pPr>
      <w:r>
        <w:rPr/>
        <w:drawing>
          <wp:inline distT="0" distB="0" distL="0" distR="0">
            <wp:extent cx="5943600" cy="2053590"/>
            <wp:effectExtent l="0" t="0" r="0" b="0"/>
            <wp:docPr id="5" name="Picture 3"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 title=""/>
                    <pic:cNvPicPr>
                      <a:picLocks noChangeAspect="1" noChangeArrowheads="1"/>
                    </pic:cNvPicPr>
                  </pic:nvPicPr>
                  <pic:blipFill>
                    <a:blip r:embed="rId5"/>
                    <a:stretch>
                      <a:fillRect/>
                    </a:stretch>
                  </pic:blipFill>
                  <pic:spPr bwMode="auto">
                    <a:xfrm>
                      <a:off x="0" y="0"/>
                      <a:ext cx="5943600" cy="2053590"/>
                    </a:xfrm>
                    <a:prstGeom prst="rect">
                      <a:avLst/>
                    </a:prstGeom>
                  </pic:spPr>
                </pic:pic>
              </a:graphicData>
            </a:graphic>
          </wp:inline>
        </w:drawing>
      </w:r>
    </w:p>
    <w:p>
      <w:pPr>
        <w:pStyle w:val="Western"/>
        <w:spacing w:beforeAutospacing="0" w:before="10" w:after="0"/>
        <w:rPr>
          <w:rFonts w:ascii="Tahoma" w:hAnsi="Tahoma" w:cs="Tahoma"/>
          <w:sz w:val="20"/>
          <w:szCs w:val="22"/>
          <w:lang w:val="sr-CS"/>
        </w:rPr>
      </w:pPr>
      <w:r>
        <w:rPr>
          <w:rFonts w:cs="Tahoma" w:ascii="Tahoma" w:hAnsi="Tahoma"/>
          <w:sz w:val="20"/>
          <w:szCs w:val="22"/>
          <w:lang w:val="sr-CS"/>
        </w:rPr>
      </w:r>
    </w:p>
    <w:p>
      <w:pPr>
        <w:pStyle w:val="Western"/>
        <w:spacing w:beforeAutospacing="0" w:before="10" w:after="0"/>
        <w:rPr>
          <w:rFonts w:ascii="Tahoma" w:hAnsi="Tahoma" w:cs="Tahoma"/>
          <w:sz w:val="20"/>
          <w:szCs w:val="22"/>
          <w:lang w:val="sr-CS"/>
        </w:rPr>
      </w:pPr>
      <w:r>
        <w:rPr>
          <w:rFonts w:cs="Tahoma" w:ascii="Tahoma" w:hAnsi="Tahoma"/>
          <w:sz w:val="20"/>
          <w:szCs w:val="22"/>
          <w:lang w:val="sr-CS"/>
        </w:rPr>
        <w:t xml:space="preserve">Према </w:t>
      </w:r>
      <w:r>
        <w:rPr>
          <w:rFonts w:cs="Tahoma" w:ascii="Tahoma" w:hAnsi="Tahoma"/>
          <w:sz w:val="20"/>
          <w:szCs w:val="22"/>
          <w:lang w:val="sr-RS"/>
        </w:rPr>
        <w:t>П</w:t>
      </w:r>
      <w:r>
        <w:rPr>
          <w:rFonts w:cs="Tahoma" w:ascii="Tahoma" w:hAnsi="Tahoma"/>
          <w:sz w:val="20"/>
          <w:szCs w:val="22"/>
          <w:lang w:val="sr-CS"/>
        </w:rPr>
        <w:t xml:space="preserve">опису из 2022. године у </w:t>
      </w:r>
      <w:r>
        <w:rPr>
          <w:rFonts w:cs="Tahoma" w:ascii="Tahoma" w:hAnsi="Tahoma"/>
          <w:sz w:val="20"/>
          <w:szCs w:val="22"/>
          <w:lang w:val="sr-Latn-CS"/>
        </w:rPr>
        <w:t>О</w:t>
      </w:r>
      <w:r>
        <w:rPr>
          <w:rFonts w:cs="Tahoma" w:ascii="Tahoma" w:hAnsi="Tahoma"/>
          <w:sz w:val="20"/>
          <w:szCs w:val="22"/>
          <w:lang w:val="sr-CS"/>
        </w:rPr>
        <w:t>пштин</w:t>
      </w:r>
      <w:r>
        <w:rPr>
          <w:rFonts w:cs="Tahoma" w:ascii="Tahoma" w:hAnsi="Tahoma"/>
          <w:sz w:val="20"/>
          <w:szCs w:val="22"/>
          <w:lang w:val="sr-Latn-CS"/>
        </w:rPr>
        <w:t>и Беочин</w:t>
      </w:r>
      <w:r>
        <w:rPr>
          <w:rFonts w:cs="Tahoma" w:ascii="Tahoma" w:hAnsi="Tahoma"/>
          <w:sz w:val="20"/>
          <w:szCs w:val="22"/>
          <w:lang w:val="sr-CS"/>
        </w:rPr>
        <w:t xml:space="preserve"> највише је становника (56,24%) са средњом стручном спремом. Удео становника са завршеном основном школом износи </w:t>
      </w:r>
      <w:r>
        <w:rPr>
          <w:rFonts w:cs="Tahoma" w:ascii="Tahoma" w:hAnsi="Tahoma"/>
          <w:sz w:val="20"/>
          <w:szCs w:val="22"/>
          <w:lang w:val="sr-Latn-CS"/>
        </w:rPr>
        <w:t>2</w:t>
      </w:r>
      <w:r>
        <w:rPr>
          <w:rFonts w:cs="Tahoma" w:ascii="Tahoma" w:hAnsi="Tahoma"/>
          <w:sz w:val="20"/>
          <w:szCs w:val="22"/>
          <w:lang w:val="sr-CS"/>
        </w:rPr>
        <w:t xml:space="preserve">3%, а ако се узму у обзир </w:t>
      </w:r>
      <w:r>
        <w:rPr>
          <w:rFonts w:cs="Tahoma" w:ascii="Tahoma" w:hAnsi="Tahoma"/>
          <w:sz w:val="20"/>
          <w:szCs w:val="22"/>
          <w:lang w:val="sr-Latn-CS"/>
        </w:rPr>
        <w:t xml:space="preserve">и </w:t>
      </w:r>
      <w:r>
        <w:rPr>
          <w:rFonts w:cs="Tahoma" w:ascii="Tahoma" w:hAnsi="Tahoma"/>
          <w:sz w:val="20"/>
          <w:szCs w:val="22"/>
          <w:lang w:val="sr-CS"/>
        </w:rPr>
        <w:t>они без школе или са непотпуном основном школом, може се рећи да се 31% од укупног броја становника, налази у распону без школске спреме до средње стручне спреме. Тај удео се смањио за 10% у односу на претходни пописни период.</w:t>
      </w:r>
    </w:p>
    <w:p>
      <w:pPr>
        <w:pStyle w:val="Western"/>
        <w:spacing w:beforeAutospacing="0" w:before="10" w:after="0"/>
        <w:rPr>
          <w:rFonts w:ascii="Tahoma" w:hAnsi="Tahoma" w:cs="Tahoma"/>
          <w:sz w:val="20"/>
          <w:szCs w:val="22"/>
          <w:lang w:val="sr-CS"/>
        </w:rPr>
      </w:pPr>
      <w:r>
        <w:rPr>
          <w:rFonts w:cs="Tahoma" w:ascii="Tahoma" w:hAnsi="Tahoma"/>
          <w:sz w:val="20"/>
          <w:szCs w:val="22"/>
          <w:lang w:val="sr-CS"/>
        </w:rPr>
      </w:r>
    </w:p>
    <w:p>
      <w:pPr>
        <w:pStyle w:val="Western"/>
        <w:spacing w:beforeAutospacing="0" w:before="10" w:after="0"/>
        <w:rPr>
          <w:rFonts w:ascii="Tahoma" w:hAnsi="Tahoma" w:cs="Tahoma"/>
          <w:iCs/>
          <w:sz w:val="20"/>
          <w:lang w:val="sr-RS"/>
        </w:rPr>
      </w:pPr>
      <w:r>
        <w:rPr>
          <w:rFonts w:cs="Tahoma" w:ascii="Tahoma" w:hAnsi="Tahoma"/>
          <w:sz w:val="20"/>
          <w:lang w:val="sr-RS"/>
        </w:rPr>
        <w:t xml:space="preserve">У 2022. години, укупан број становника пао је на 13872 (7027 жена и 6845 мушкараца). </w:t>
      </w:r>
      <w:r>
        <w:rPr>
          <w:rFonts w:cs="Tahoma" w:ascii="Tahoma" w:hAnsi="Tahoma"/>
          <w:sz w:val="20"/>
          <w:lang w:val="sr-CS"/>
        </w:rPr>
        <w:t xml:space="preserve">Анализирајући старосну структуру становништва, може се уочити да </w:t>
      </w:r>
      <w:r>
        <w:rPr>
          <w:rFonts w:cs="Tahoma" w:ascii="Tahoma" w:hAnsi="Tahoma"/>
          <w:b/>
          <w:sz w:val="20"/>
          <w:lang w:val="sr-CS"/>
        </w:rPr>
        <w:t>је број становника у готово свим старосним групама смањен у 2022. години. Повећање броја и удела се бележи само у старосној групи становника који су старији од 60 година.</w:t>
      </w:r>
      <w:r>
        <w:rPr>
          <w:rFonts w:cs="Tahoma" w:ascii="Tahoma" w:hAnsi="Tahoma"/>
          <w:sz w:val="20"/>
          <w:lang w:val="sr-CS"/>
        </w:rPr>
        <w:t xml:space="preserve"> У односу на претходни пописни период, њихов број је порастао за 19,23%. </w:t>
      </w:r>
      <w:r>
        <w:rPr>
          <w:rFonts w:cs="Tahoma" w:ascii="Tahoma" w:hAnsi="Tahoma"/>
          <w:iCs/>
          <w:sz w:val="20"/>
          <w:lang w:val="sr-RS"/>
        </w:rPr>
        <w:t xml:space="preserve">Становништва старијег од 65 година има укупно </w:t>
      </w:r>
      <w:r>
        <w:rPr>
          <w:rFonts w:cs="Tahoma" w:ascii="Tahoma" w:hAnsi="Tahoma"/>
          <w:sz w:val="18"/>
          <w:szCs w:val="18"/>
          <w:lang w:val="sr-CS"/>
        </w:rPr>
        <w:t xml:space="preserve">2893 </w:t>
      </w:r>
      <w:r>
        <w:rPr>
          <w:rFonts w:cs="Tahoma" w:ascii="Tahoma" w:hAnsi="Tahoma"/>
          <w:iCs/>
          <w:sz w:val="20"/>
          <w:lang w:val="sr-RS"/>
        </w:rPr>
        <w:t xml:space="preserve">што чини  20,85% укупне популације. Међу старијима је више жена него мушкараца и њихова просечна старост је већа. </w:t>
      </w:r>
      <w:r>
        <w:rPr>
          <w:rFonts w:cs="Tahoma" w:ascii="Tahoma" w:hAnsi="Tahoma"/>
          <w:sz w:val="20"/>
          <w:lang w:val="sr-CS"/>
        </w:rPr>
        <w:t>Висок проценат старих је једно од битних демографских обележја становништва на овом подручју већ више деценија.</w:t>
      </w:r>
    </w:p>
    <w:p>
      <w:pPr>
        <w:pStyle w:val="Western"/>
        <w:spacing w:beforeAutospacing="0" w:before="240" w:after="0"/>
        <w:rPr>
          <w:rFonts w:ascii="Tahoma" w:hAnsi="Tahoma" w:cs="Tahoma"/>
          <w:sz w:val="20"/>
          <w:lang w:val="sr-CS"/>
        </w:rPr>
      </w:pPr>
      <w:r>
        <w:rPr>
          <w:rFonts w:cs="Tahoma" w:ascii="Tahoma" w:hAnsi="Tahoma"/>
          <w:sz w:val="20"/>
          <w:szCs w:val="20"/>
          <w:lang w:val="sr-CS"/>
        </w:rPr>
        <w:t>Структура домаћинстава према броју чланова, у 2022. години, је била следећа: домаћинства са једним чланом чине 28,54%</w:t>
      </w:r>
      <w:r>
        <w:rPr>
          <w:rFonts w:cs="Tahoma" w:ascii="Tahoma" w:hAnsi="Tahoma"/>
          <w:sz w:val="20"/>
          <w:szCs w:val="20"/>
          <w:lang w:val="sr-Latn-CS"/>
        </w:rPr>
        <w:t>, двочла</w:t>
      </w:r>
      <w:r>
        <w:rPr>
          <w:rFonts w:cs="Tahoma" w:ascii="Tahoma" w:hAnsi="Tahoma"/>
          <w:sz w:val="20"/>
          <w:szCs w:val="20"/>
          <w:lang w:val="sr-CS"/>
        </w:rPr>
        <w:t>на</w:t>
      </w:r>
      <w:r>
        <w:rPr>
          <w:rFonts w:cs="Tahoma" w:ascii="Tahoma" w:hAnsi="Tahoma"/>
          <w:sz w:val="20"/>
          <w:szCs w:val="20"/>
          <w:lang w:val="sr-Latn-CS"/>
        </w:rPr>
        <w:t xml:space="preserve"> домаћинств</w:t>
      </w:r>
      <w:r>
        <w:rPr>
          <w:rFonts w:cs="Tahoma" w:ascii="Tahoma" w:hAnsi="Tahoma"/>
          <w:sz w:val="20"/>
          <w:szCs w:val="20"/>
          <w:lang w:val="sr-CS"/>
        </w:rPr>
        <w:t>а</w:t>
      </w:r>
      <w:r>
        <w:rPr>
          <w:rFonts w:cs="Tahoma" w:ascii="Tahoma" w:hAnsi="Tahoma"/>
          <w:sz w:val="20"/>
          <w:szCs w:val="20"/>
          <w:lang w:val="sr-Latn-CS"/>
        </w:rPr>
        <w:t xml:space="preserve"> </w:t>
      </w:r>
      <w:r>
        <w:rPr>
          <w:rFonts w:cs="Tahoma" w:ascii="Tahoma" w:hAnsi="Tahoma"/>
          <w:sz w:val="20"/>
          <w:szCs w:val="20"/>
          <w:lang w:val="sr-CS"/>
        </w:rPr>
        <w:t>29,39%, домаћинства са три члана чине 17,93%, са четири члана 13,51%, са пет чланова 5,93% и са шест и више чланова 4,69%. Посматрајући процентуалну заступљеност домаћинстава према броју чланова, може се уочити да</w:t>
      </w:r>
      <w:r>
        <w:rPr>
          <w:rFonts w:cs="Tahoma" w:ascii="Tahoma" w:hAnsi="Tahoma"/>
          <w:sz w:val="20"/>
          <w:szCs w:val="20"/>
          <w:lang w:val="sr-Latn-CS"/>
        </w:rPr>
        <w:t xml:space="preserve"> у </w:t>
      </w:r>
      <w:r>
        <w:rPr>
          <w:rFonts w:cs="Tahoma" w:ascii="Tahoma" w:hAnsi="Tahoma"/>
          <w:sz w:val="20"/>
          <w:szCs w:val="20"/>
          <w:lang w:val="sr-CS"/>
        </w:rPr>
        <w:t xml:space="preserve">Општини Беочин више од </w:t>
      </w:r>
      <w:r>
        <w:rPr>
          <w:rFonts w:cs="Tahoma" w:ascii="Tahoma" w:hAnsi="Tahoma"/>
          <w:sz w:val="20"/>
          <w:szCs w:val="20"/>
          <w:lang w:val="sr-Latn-CS"/>
        </w:rPr>
        <w:t>половин</w:t>
      </w:r>
      <w:r>
        <w:rPr>
          <w:rFonts w:cs="Tahoma" w:ascii="Tahoma" w:hAnsi="Tahoma"/>
          <w:sz w:val="20"/>
          <w:szCs w:val="20"/>
          <w:lang w:val="sr-CS"/>
        </w:rPr>
        <w:t>е (57,93%)</w:t>
      </w:r>
      <w:r>
        <w:rPr>
          <w:rFonts w:cs="Tahoma" w:ascii="Tahoma" w:hAnsi="Tahoma"/>
          <w:sz w:val="20"/>
          <w:szCs w:val="20"/>
          <w:lang w:val="sr-Latn-CS"/>
        </w:rPr>
        <w:t xml:space="preserve"> домаћинстава чине она са једним или два члана.</w:t>
      </w:r>
    </w:p>
    <w:p>
      <w:pPr>
        <w:pStyle w:val="Normal"/>
        <w:spacing w:lineRule="auto" w:line="240" w:before="240" w:after="160"/>
        <w:jc w:val="both"/>
        <w:rPr>
          <w:rFonts w:ascii="Tahoma" w:hAnsi="Tahoma" w:cs="Tahoma"/>
          <w:color w:val="000000"/>
          <w:sz w:val="20"/>
          <w:szCs w:val="18"/>
          <w:lang w:val="sr-RS"/>
        </w:rPr>
      </w:pPr>
      <w:r>
        <w:rPr>
          <w:rFonts w:cs="Tahoma" w:ascii="Tahoma" w:hAnsi="Tahoma"/>
          <w:color w:val="000000"/>
          <w:sz w:val="20"/>
          <w:szCs w:val="18"/>
          <w:lang w:val="sr-RS"/>
        </w:rPr>
        <w:t xml:space="preserve">Кад је у питању регистрована запосленост, у општини се бележи благи пораст у посматраном трогодишњем периоду, с тим да је удео мушкараца у укупном броју регистрованих запослених као и удео у укупном броју становника знатно већи него удео жена: </w:t>
      </w:r>
    </w:p>
    <w:p>
      <w:pPr>
        <w:pStyle w:val="Normal"/>
        <w:spacing w:lineRule="auto" w:line="240"/>
        <w:rPr>
          <w:rFonts w:ascii="Tahoma" w:hAnsi="Tahoma" w:cs="Tahoma"/>
          <w:color w:val="000000"/>
          <w:sz w:val="20"/>
          <w:szCs w:val="18"/>
          <w:lang w:val="sr-RS"/>
        </w:rPr>
      </w:pPr>
      <w:r>
        <w:rPr>
          <w:rFonts w:cs="Tahoma" w:ascii="Tahoma" w:hAnsi="Tahoma"/>
          <w:i/>
          <w:color w:val="1F4E79" w:themeColor="accent5" w:themeShade="80"/>
          <w:sz w:val="18"/>
          <w:szCs w:val="20"/>
          <w:lang w:val="sr-RS"/>
        </w:rPr>
        <w:t>Графикон 2: Регистровани запослени према општини пребивалишта 2021-2023.</w:t>
      </w:r>
      <w:r>
        <w:rPr/>
        <w:drawing>
          <wp:inline distT="0" distB="0" distL="0" distR="0">
            <wp:extent cx="5943600" cy="2395220"/>
            <wp:effectExtent l="0" t="0" r="0" b="0"/>
            <wp:docPr id="6" name="Picture 5"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 title=""/>
                    <pic:cNvPicPr>
                      <a:picLocks noChangeAspect="1" noChangeArrowheads="1"/>
                    </pic:cNvPicPr>
                  </pic:nvPicPr>
                  <pic:blipFill>
                    <a:blip r:embed="rId6"/>
                    <a:stretch>
                      <a:fillRect/>
                    </a:stretch>
                  </pic:blipFill>
                  <pic:spPr bwMode="auto">
                    <a:xfrm>
                      <a:off x="0" y="0"/>
                      <a:ext cx="5943600" cy="2395220"/>
                    </a:xfrm>
                    <a:prstGeom prst="rect">
                      <a:avLst/>
                    </a:prstGeom>
                  </pic:spPr>
                </pic:pic>
              </a:graphicData>
            </a:graphic>
          </wp:inline>
        </w:drawing>
      </w:r>
    </w:p>
    <w:p>
      <w:pPr>
        <w:pStyle w:val="Normal"/>
        <w:spacing w:lineRule="auto" w:line="240" w:before="240" w:after="160"/>
        <w:jc w:val="both"/>
        <w:rPr>
          <w:rFonts w:ascii="Tahoma" w:hAnsi="Tahoma" w:cs="Tahoma"/>
          <w:color w:val="000000"/>
          <w:sz w:val="20"/>
          <w:szCs w:val="18"/>
          <w:lang w:val="sr-RS"/>
        </w:rPr>
      </w:pPr>
      <w:r>
        <w:rPr>
          <w:rFonts w:cs="Tahoma" w:ascii="Tahoma" w:hAnsi="Tahoma"/>
          <w:color w:val="000000"/>
          <w:sz w:val="20"/>
          <w:szCs w:val="18"/>
          <w:lang w:val="sr-RS"/>
        </w:rPr>
        <w:t xml:space="preserve">Регистрована незапосленост опада, те је од 2021 до 2023 више изражен пад незапослености опед код мушкараца него код жена, иако су овде разлике незнатне (за 21% код жена и 24% код мушкараца). </w:t>
      </w:r>
    </w:p>
    <w:p>
      <w:pPr>
        <w:pStyle w:val="Normal"/>
        <w:spacing w:lineRule="auto" w:line="240" w:before="240" w:after="160"/>
        <w:jc w:val="both"/>
        <w:rPr>
          <w:rFonts w:ascii="Tahoma" w:hAnsi="Tahoma" w:cs="Tahoma"/>
          <w:color w:val="000000"/>
          <w:sz w:val="20"/>
          <w:szCs w:val="18"/>
          <w:lang w:val="sr-RS"/>
        </w:rPr>
      </w:pPr>
      <w:r>
        <w:rPr>
          <w:rFonts w:cs="Tahoma" w:ascii="Tahoma" w:hAnsi="Tahoma"/>
          <w:color w:val="000000"/>
          <w:sz w:val="20"/>
          <w:szCs w:val="18"/>
          <w:lang w:val="sr-RS"/>
        </w:rPr>
      </w:r>
    </w:p>
    <w:p>
      <w:pPr>
        <w:pStyle w:val="Normal"/>
        <w:spacing w:lineRule="auto" w:line="240" w:before="240" w:after="160"/>
        <w:jc w:val="both"/>
        <w:rPr>
          <w:rFonts w:ascii="Tahoma" w:hAnsi="Tahoma" w:cs="Tahoma"/>
          <w:color w:val="000000"/>
          <w:sz w:val="20"/>
          <w:szCs w:val="18"/>
          <w:lang w:val="sr-RS"/>
        </w:rPr>
      </w:pPr>
      <w:r>
        <w:rPr>
          <w:rFonts w:cs="Tahoma" w:ascii="Tahoma" w:hAnsi="Tahoma"/>
          <w:color w:val="000000"/>
          <w:sz w:val="20"/>
          <w:szCs w:val="18"/>
          <w:lang w:val="sr-RS"/>
        </w:rPr>
      </w:r>
    </w:p>
    <w:p>
      <w:pPr>
        <w:pStyle w:val="Normal"/>
        <w:spacing w:lineRule="auto" w:line="240" w:before="240" w:after="160"/>
        <w:jc w:val="both"/>
        <w:rPr>
          <w:rFonts w:ascii="Tahoma" w:hAnsi="Tahoma" w:cs="Tahoma"/>
          <w:color w:val="000000"/>
          <w:sz w:val="20"/>
          <w:szCs w:val="18"/>
          <w:lang w:val="sr-RS"/>
        </w:rPr>
      </w:pPr>
      <w:r>
        <w:rPr>
          <w:rFonts w:cs="Tahoma" w:ascii="Tahoma" w:hAnsi="Tahoma"/>
          <w:color w:val="000000"/>
          <w:sz w:val="20"/>
          <w:szCs w:val="18"/>
          <w:lang w:val="sr-RS"/>
        </w:rPr>
      </w:r>
    </w:p>
    <w:p>
      <w:pPr>
        <w:pStyle w:val="NormalWeb"/>
        <w:spacing w:before="280" w:after="280"/>
        <w:jc w:val="both"/>
        <w:rPr>
          <w:rFonts w:ascii="Tahoma" w:hAnsi="Tahoma" w:cs="Tahoma"/>
          <w:i/>
          <w:i/>
          <w:color w:val="1F4E79" w:themeColor="accent5" w:themeShade="80"/>
          <w:sz w:val="18"/>
          <w:lang w:val="sr-RS" w:eastAsia="sr-Latn-RS"/>
        </w:rPr>
      </w:pPr>
      <w:r>
        <w:rPr>
          <w:rFonts w:cs="Tahoma" w:ascii="Tahoma" w:hAnsi="Tahoma"/>
          <w:i/>
          <w:color w:val="1F4E79" w:themeColor="accent5" w:themeShade="80"/>
          <w:sz w:val="18"/>
          <w:lang w:val="sr-RS" w:eastAsia="sr-Latn-RS"/>
        </w:rPr>
        <w:t>Графикон 3: Регистровани незапослени, 2021-2023</w:t>
      </w:r>
    </w:p>
    <w:p>
      <w:pPr>
        <w:pStyle w:val="NormalWeb"/>
        <w:spacing w:before="280" w:after="280"/>
        <w:jc w:val="end"/>
        <w:rPr>
          <w:rFonts w:ascii="Tahoma" w:hAnsi="Tahoma" w:cs="Tahoma"/>
          <w:bCs/>
          <w:i/>
          <w:i/>
          <w:color w:val="000000"/>
          <w:sz w:val="16"/>
          <w:szCs w:val="20"/>
          <w:lang w:val="sr-RS" w:eastAsia="sr-Latn-RS"/>
        </w:rPr>
      </w:pPr>
      <w:r>
        <w:rPr/>
        <w:drawing>
          <wp:inline distT="0" distB="0" distL="0" distR="0">
            <wp:extent cx="5943600" cy="2345690"/>
            <wp:effectExtent l="0" t="0" r="0" b="0"/>
            <wp:docPr id="7" name="Picture 4"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 title=""/>
                    <pic:cNvPicPr>
                      <a:picLocks noChangeAspect="1" noChangeArrowheads="1"/>
                    </pic:cNvPicPr>
                  </pic:nvPicPr>
                  <pic:blipFill>
                    <a:blip r:embed="rId7"/>
                    <a:stretch>
                      <a:fillRect/>
                    </a:stretch>
                  </pic:blipFill>
                  <pic:spPr bwMode="auto">
                    <a:xfrm>
                      <a:off x="0" y="0"/>
                      <a:ext cx="5943600" cy="2345690"/>
                    </a:xfrm>
                    <a:prstGeom prst="rect">
                      <a:avLst/>
                    </a:prstGeom>
                  </pic:spPr>
                </pic:pic>
              </a:graphicData>
            </a:graphic>
          </wp:inline>
        </w:drawing>
      </w:r>
    </w:p>
    <w:p>
      <w:pPr>
        <w:pStyle w:val="Normal"/>
        <w:spacing w:lineRule="auto" w:line="240"/>
        <w:jc w:val="both"/>
        <w:rPr>
          <w:rFonts w:ascii="Tahoma" w:hAnsi="Tahoma" w:cs="Tahoma"/>
          <w:sz w:val="18"/>
          <w:szCs w:val="20"/>
          <w:lang w:val="sr-RS"/>
        </w:rPr>
      </w:pPr>
      <w:r>
        <w:rPr>
          <w:rFonts w:cs="Tahoma" w:ascii="Tahoma" w:hAnsi="Tahoma"/>
          <w:sz w:val="18"/>
          <w:szCs w:val="20"/>
          <w:lang w:val="sr-RS"/>
        </w:rPr>
      </w:r>
    </w:p>
    <w:p>
      <w:pPr>
        <w:pStyle w:val="Normal"/>
        <w:spacing w:lineRule="auto" w:line="240" w:before="0" w:after="0"/>
        <w:jc w:val="both"/>
        <w:rPr>
          <w:rFonts w:ascii="Tahoma" w:hAnsi="Tahoma" w:eastAsia="Times New Roman" w:cs="Tahoma"/>
          <w:bCs/>
          <w:sz w:val="20"/>
          <w:szCs w:val="20"/>
          <w:lang w:val="sr-Latn-RS" w:eastAsia="sr-Latn-RS"/>
        </w:rPr>
      </w:pPr>
      <w:r>
        <w:rPr>
          <w:rFonts w:eastAsia="Times New Roman" w:cs="Tahoma" w:ascii="Tahoma" w:hAnsi="Tahoma"/>
          <w:bCs/>
          <w:sz w:val="20"/>
          <w:szCs w:val="20"/>
          <w:lang w:val="sr-RS" w:eastAsia="sr-Latn-RS"/>
        </w:rPr>
        <w:t>Највећи удео незапослених је из старосне групе 30-54 године, више од половине укупно незапослених (5</w:t>
      </w:r>
      <w:r>
        <w:rPr>
          <w:rFonts w:eastAsia="Times New Roman" w:cs="Tahoma" w:ascii="Tahoma" w:hAnsi="Tahoma"/>
          <w:bCs/>
          <w:sz w:val="20"/>
          <w:szCs w:val="20"/>
          <w:lang w:val="sr-Latn-RS" w:eastAsia="sr-Latn-RS"/>
        </w:rPr>
        <w:t>3</w:t>
      </w:r>
      <w:r>
        <w:rPr>
          <w:rFonts w:eastAsia="Times New Roman" w:cs="Tahoma" w:ascii="Tahoma" w:hAnsi="Tahoma"/>
          <w:bCs/>
          <w:sz w:val="20"/>
          <w:szCs w:val="20"/>
          <w:lang w:val="sr-RS" w:eastAsia="sr-Latn-RS"/>
        </w:rPr>
        <w:t>%).</w:t>
      </w:r>
      <w:r>
        <w:rPr>
          <w:rFonts w:eastAsia="Times New Roman" w:cs="Tahoma" w:ascii="Tahoma" w:hAnsi="Tahoma"/>
          <w:bCs/>
          <w:sz w:val="20"/>
          <w:szCs w:val="20"/>
          <w:lang w:val="sr-Latn-RS" w:eastAsia="sr-Latn-RS"/>
        </w:rPr>
        <w:t xml:space="preserve"> </w:t>
      </w:r>
    </w:p>
    <w:p>
      <w:pPr>
        <w:pStyle w:val="Normal"/>
        <w:spacing w:lineRule="auto" w:line="240" w:before="0" w:after="0"/>
        <w:jc w:val="both"/>
        <w:rPr>
          <w:rFonts w:ascii="Tahoma" w:hAnsi="Tahoma" w:eastAsia="Times New Roman" w:cs="Tahoma"/>
          <w:bCs/>
          <w:i/>
          <w:i/>
          <w:color w:val="1F4E79" w:themeColor="accent5" w:themeShade="80"/>
          <w:sz w:val="18"/>
          <w:szCs w:val="20"/>
          <w:lang w:val="sr-RS" w:eastAsia="sr-Latn-RS"/>
        </w:rPr>
      </w:pPr>
      <w:r>
        <w:rPr>
          <w:rFonts w:eastAsia="Times New Roman" w:cs="Tahoma" w:ascii="Tahoma" w:hAnsi="Tahoma"/>
          <w:bCs/>
          <w:i/>
          <w:color w:val="1F4E79" w:themeColor="accent5" w:themeShade="80"/>
          <w:sz w:val="18"/>
          <w:szCs w:val="20"/>
          <w:lang w:val="sr-RS" w:eastAsia="sr-Latn-RS"/>
        </w:rPr>
      </w:r>
    </w:p>
    <w:p>
      <w:pPr>
        <w:pStyle w:val="Normal"/>
        <w:spacing w:lineRule="auto" w:line="240" w:before="0" w:after="0"/>
        <w:jc w:val="both"/>
        <w:rPr>
          <w:rFonts w:ascii="Tahoma" w:hAnsi="Tahoma" w:eastAsia="Times New Roman" w:cs="Tahoma"/>
          <w:bCs/>
          <w:i/>
          <w:i/>
          <w:color w:val="1F4E79" w:themeColor="accent5" w:themeShade="80"/>
          <w:sz w:val="18"/>
          <w:szCs w:val="20"/>
          <w:lang w:val="sr-RS" w:eastAsia="sr-Latn-RS"/>
        </w:rPr>
      </w:pPr>
      <w:r>
        <w:rPr>
          <w:rFonts w:eastAsia="Times New Roman" w:cs="Tahoma" w:ascii="Tahoma" w:hAnsi="Tahoma"/>
          <w:bCs/>
          <w:i/>
          <w:color w:val="1F4E79" w:themeColor="accent5" w:themeShade="80"/>
          <w:sz w:val="18"/>
          <w:szCs w:val="20"/>
          <w:lang w:val="sr-RS" w:eastAsia="sr-Latn-RS"/>
        </w:rPr>
        <w:t>Графикон 4: Удео незапослених према старосним групама, и према полу, 2023</w:t>
      </w:r>
    </w:p>
    <w:p>
      <w:pPr>
        <w:pStyle w:val="Normal"/>
        <w:spacing w:lineRule="auto" w:line="240"/>
        <w:jc w:val="both"/>
        <w:rPr>
          <w:rFonts w:ascii="Tahoma" w:hAnsi="Tahoma" w:cs="Tahoma"/>
          <w:sz w:val="20"/>
          <w:szCs w:val="20"/>
          <w:lang w:val="sr-RS"/>
        </w:rPr>
      </w:pPr>
      <w:r>
        <w:rPr/>
        <w:drawing>
          <wp:inline distT="0" distB="0" distL="0" distR="0">
            <wp:extent cx="5943600" cy="2369820"/>
            <wp:effectExtent l="0" t="0" r="0" b="0"/>
            <wp:docPr id="8" name="Picture 6"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descr="" title=""/>
                    <pic:cNvPicPr>
                      <a:picLocks noChangeAspect="1" noChangeArrowheads="1"/>
                    </pic:cNvPicPr>
                  </pic:nvPicPr>
                  <pic:blipFill>
                    <a:blip r:embed="rId8"/>
                    <a:stretch>
                      <a:fillRect/>
                    </a:stretch>
                  </pic:blipFill>
                  <pic:spPr bwMode="auto">
                    <a:xfrm>
                      <a:off x="0" y="0"/>
                      <a:ext cx="5943600" cy="2369820"/>
                    </a:xfrm>
                    <a:prstGeom prst="rect">
                      <a:avLst/>
                    </a:prstGeom>
                  </pic:spPr>
                </pic:pic>
              </a:graphicData>
            </a:graphic>
          </wp:inline>
        </w:drawing>
      </w:r>
    </w:p>
    <w:p>
      <w:pPr>
        <w:pStyle w:val="Normal"/>
        <w:spacing w:lineRule="auto" w:line="240"/>
        <w:jc w:val="both"/>
        <w:rPr>
          <w:rFonts w:ascii="Tahoma" w:hAnsi="Tahoma" w:cs="Tahoma"/>
          <w:sz w:val="20"/>
          <w:szCs w:val="20"/>
          <w:lang w:val="sr-RS"/>
        </w:rPr>
      </w:pPr>
      <w:r>
        <w:rPr>
          <w:rFonts w:cs="Tahoma" w:ascii="Tahoma" w:hAnsi="Tahoma"/>
          <w:sz w:val="20"/>
          <w:szCs w:val="20"/>
          <w:lang w:val="sr-RS"/>
        </w:rPr>
        <w:t xml:space="preserve">Према подацима РЗС, процењена стопа ризика од сиромаштва за општину Беочин у 2013. години износила је 33,7, што је ставља на 89. место на листи јединица локалне самоуправе у Републици Србији.  </w:t>
      </w:r>
    </w:p>
    <w:p>
      <w:pPr>
        <w:pStyle w:val="Normal"/>
        <w:spacing w:lineRule="auto" w:line="240" w:before="0" w:after="0"/>
        <w:jc w:val="both"/>
        <w:rPr>
          <w:rFonts w:ascii="Tahoma" w:hAnsi="Tahoma" w:cs="Tahoma"/>
          <w:i/>
          <w:i/>
          <w:color w:val="4472C4" w:themeColor="accent1"/>
          <w:sz w:val="18"/>
          <w:szCs w:val="20"/>
          <w:highlight w:val="lightGray"/>
          <w:lang w:val="sr-RS" w:bidi="si-LK"/>
        </w:rPr>
      </w:pPr>
      <w:r>
        <w:rPr>
          <w:rFonts w:cs="Tahoma" w:ascii="Tahoma" w:hAnsi="Tahoma"/>
          <w:i/>
          <w:color w:val="4472C4" w:themeColor="accent1"/>
          <w:sz w:val="18"/>
          <w:szCs w:val="20"/>
          <w:lang w:val="sr-RS"/>
        </w:rPr>
        <w:t>Табела 4</w:t>
      </w:r>
    </w:p>
    <w:tbl>
      <w:tblPr>
        <w:tblW w:w="9280"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7879"/>
        <w:gridCol w:w="1400"/>
      </w:tblGrid>
      <w:tr>
        <w:trPr>
          <w:trHeight w:val="500" w:hRule="atLeast"/>
        </w:trPr>
        <w:tc>
          <w:tcPr>
            <w:tcW w:w="7879" w:type="dxa"/>
            <w:tcBorders>
              <w:top w:val="single" w:sz="4" w:space="0" w:color="000000"/>
              <w:start w:val="single" w:sz="4" w:space="0" w:color="000000"/>
              <w:bottom w:val="single" w:sz="4" w:space="0" w:color="000000"/>
              <w:end w:val="single" w:sz="4" w:space="0" w:color="000000"/>
            </w:tcBorders>
            <w:shd w:color="auto" w:fill="D9E2F3" w:themeFill="accent1" w:themeFillTint="33" w:val="clear"/>
            <w:vAlign w:val="center"/>
          </w:tcPr>
          <w:p>
            <w:pPr>
              <w:pStyle w:val="Normal"/>
              <w:widowControl w:val="false"/>
              <w:spacing w:lineRule="auto" w:line="240" w:before="0" w:after="0"/>
              <w:rPr>
                <w:rFonts w:ascii="Tahoma" w:hAnsi="Tahoma" w:eastAsia="Times New Roman" w:cs="Tahoma"/>
                <w:b/>
                <w:b/>
                <w:bCs/>
                <w:color w:val="000000"/>
                <w:sz w:val="18"/>
                <w:szCs w:val="20"/>
                <w:lang w:val="sr-RS" w:eastAsia="sr-Latn-RS"/>
              </w:rPr>
            </w:pPr>
            <w:r>
              <w:rPr>
                <w:rFonts w:eastAsia="Times New Roman" w:cs="Tahoma" w:ascii="Tahoma" w:hAnsi="Tahoma"/>
                <w:b/>
                <w:bCs/>
                <w:color w:val="000000"/>
                <w:sz w:val="18"/>
                <w:szCs w:val="20"/>
                <w:lang w:val="sr-RS" w:eastAsia="sr-Latn-RS"/>
              </w:rPr>
              <w:t>Оцене сиромаштва методом мапирања сиромаштва, 2013.</w:t>
            </w:r>
          </w:p>
        </w:tc>
        <w:tc>
          <w:tcPr>
            <w:tcW w:w="1400" w:type="dxa"/>
            <w:tcBorders>
              <w:top w:val="single" w:sz="4" w:space="0" w:color="000000"/>
              <w:start w:val="single" w:sz="4" w:space="0" w:color="000000"/>
              <w:bottom w:val="single" w:sz="4" w:space="0" w:color="000000"/>
              <w:end w:val="single" w:sz="4" w:space="0" w:color="000000"/>
            </w:tcBorders>
            <w:shd w:color="auto" w:fill="D9E2F3" w:themeFill="accent1" w:themeFillTint="33" w:val="clear"/>
            <w:vAlign w:val="bottom"/>
          </w:tcPr>
          <w:p>
            <w:pPr>
              <w:pStyle w:val="Normal"/>
              <w:widowControl w:val="false"/>
              <w:spacing w:lineRule="auto" w:line="240" w:before="0" w:after="0"/>
              <w:rPr>
                <w:rFonts w:ascii="Tahoma" w:hAnsi="Tahoma" w:eastAsia="Times New Roman" w:cs="Tahoma"/>
                <w:b/>
                <w:b/>
                <w:bCs/>
                <w:color w:val="000000"/>
                <w:sz w:val="18"/>
                <w:szCs w:val="20"/>
                <w:lang w:val="sr-RS" w:eastAsia="sr-Latn-RS"/>
              </w:rPr>
            </w:pPr>
            <w:r>
              <w:rPr>
                <w:rFonts w:eastAsia="Times New Roman" w:cs="Tahoma" w:ascii="Tahoma" w:hAnsi="Tahoma"/>
                <w:b/>
                <w:bCs/>
                <w:color w:val="000000"/>
                <w:sz w:val="18"/>
                <w:szCs w:val="20"/>
                <w:lang w:val="sr-RS" w:eastAsia="sr-Latn-RS"/>
              </w:rPr>
            </w:r>
          </w:p>
        </w:tc>
      </w:tr>
      <w:tr>
        <w:trPr>
          <w:trHeight w:val="177" w:hRule="atLeast"/>
        </w:trPr>
        <w:tc>
          <w:tcPr>
            <w:tcW w:w="7879"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rPr>
                <w:rFonts w:ascii="Tahoma" w:hAnsi="Tahoma" w:eastAsia="Times New Roman" w:cs="Tahoma"/>
                <w:color w:val="000000"/>
                <w:sz w:val="18"/>
                <w:szCs w:val="20"/>
                <w:lang w:val="sr-RS" w:eastAsia="sr-Latn-RS"/>
              </w:rPr>
            </w:pPr>
            <w:r>
              <w:rPr>
                <w:rFonts w:eastAsia="Times New Roman" w:cs="Tahoma" w:ascii="Tahoma" w:hAnsi="Tahoma"/>
                <w:color w:val="000000"/>
                <w:sz w:val="18"/>
                <w:szCs w:val="20"/>
                <w:lang w:val="sr-RS" w:eastAsia="sr-Latn-RS"/>
              </w:rPr>
              <w:t>Стопа ризика од сиромаштва (%)</w:t>
            </w:r>
          </w:p>
        </w:tc>
        <w:tc>
          <w:tcPr>
            <w:tcW w:w="140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end"/>
              <w:rPr>
                <w:rFonts w:ascii="Tahoma" w:hAnsi="Tahoma" w:eastAsia="Times New Roman" w:cs="Tahoma"/>
                <w:color w:val="000000"/>
                <w:sz w:val="18"/>
                <w:szCs w:val="20"/>
                <w:lang w:val="sr-RS" w:eastAsia="sr-Latn-RS"/>
              </w:rPr>
            </w:pPr>
            <w:r>
              <w:rPr>
                <w:rFonts w:eastAsia="Times New Roman" w:cs="Tahoma" w:ascii="Tahoma" w:hAnsi="Tahoma"/>
                <w:color w:val="000000"/>
                <w:sz w:val="18"/>
                <w:szCs w:val="20"/>
                <w:lang w:val="sr-RS" w:eastAsia="sr-Latn-RS"/>
              </w:rPr>
              <w:t>33,7</w:t>
            </w:r>
          </w:p>
        </w:tc>
      </w:tr>
      <w:tr>
        <w:trPr>
          <w:trHeight w:val="105" w:hRule="atLeast"/>
        </w:trPr>
        <w:tc>
          <w:tcPr>
            <w:tcW w:w="7879"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rPr>
                <w:rFonts w:ascii="Tahoma" w:hAnsi="Tahoma" w:eastAsia="Times New Roman" w:cs="Tahoma"/>
                <w:color w:val="000000"/>
                <w:sz w:val="18"/>
                <w:szCs w:val="20"/>
                <w:lang w:val="sr-RS" w:eastAsia="sr-Latn-RS"/>
              </w:rPr>
            </w:pPr>
            <w:r>
              <w:rPr>
                <w:rFonts w:eastAsia="Times New Roman" w:cs="Tahoma" w:ascii="Tahoma" w:hAnsi="Tahoma"/>
                <w:color w:val="000000"/>
                <w:sz w:val="18"/>
                <w:szCs w:val="20"/>
                <w:lang w:val="sr-RS" w:eastAsia="sr-Latn-RS"/>
              </w:rPr>
              <w:t>Стопа ризика од сиромаштва - ранг општина</w:t>
            </w:r>
          </w:p>
        </w:tc>
        <w:tc>
          <w:tcPr>
            <w:tcW w:w="140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end"/>
              <w:rPr>
                <w:rFonts w:ascii="Tahoma" w:hAnsi="Tahoma" w:eastAsia="Times New Roman" w:cs="Tahoma"/>
                <w:color w:val="000000"/>
                <w:sz w:val="18"/>
                <w:szCs w:val="20"/>
                <w:lang w:val="sr-RS" w:eastAsia="sr-Latn-RS"/>
              </w:rPr>
            </w:pPr>
            <w:r>
              <w:rPr>
                <w:rFonts w:eastAsia="Times New Roman" w:cs="Tahoma" w:ascii="Tahoma" w:hAnsi="Tahoma"/>
                <w:color w:val="000000"/>
                <w:sz w:val="18"/>
                <w:szCs w:val="20"/>
                <w:lang w:val="sr-RS" w:eastAsia="sr-Latn-RS"/>
              </w:rPr>
              <w:t>89</w:t>
            </w:r>
          </w:p>
        </w:tc>
      </w:tr>
      <w:tr>
        <w:trPr>
          <w:trHeight w:val="261" w:hRule="atLeast"/>
        </w:trPr>
        <w:tc>
          <w:tcPr>
            <w:tcW w:w="7879"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rPr>
                <w:rFonts w:ascii="Tahoma" w:hAnsi="Tahoma" w:eastAsia="Times New Roman" w:cs="Tahoma"/>
                <w:color w:val="000000"/>
                <w:sz w:val="18"/>
                <w:szCs w:val="20"/>
                <w:lang w:val="sr-RS" w:eastAsia="sr-Latn-RS"/>
              </w:rPr>
            </w:pPr>
            <w:r>
              <w:rPr>
                <w:rFonts w:eastAsia="Times New Roman" w:cs="Tahoma" w:ascii="Tahoma" w:hAnsi="Tahoma"/>
                <w:color w:val="000000"/>
                <w:sz w:val="18"/>
                <w:szCs w:val="20"/>
                <w:lang w:val="sr-RS" w:eastAsia="sr-Latn-RS"/>
              </w:rPr>
              <w:t>Ђини коефицијент (интервал од 0 до 100)</w:t>
            </w:r>
          </w:p>
        </w:tc>
        <w:tc>
          <w:tcPr>
            <w:tcW w:w="140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end"/>
              <w:rPr>
                <w:rFonts w:ascii="Tahoma" w:hAnsi="Tahoma" w:eastAsia="Times New Roman" w:cs="Tahoma"/>
                <w:color w:val="000000"/>
                <w:sz w:val="18"/>
                <w:szCs w:val="20"/>
                <w:lang w:val="sr-RS" w:eastAsia="sr-Latn-RS"/>
              </w:rPr>
            </w:pPr>
            <w:r>
              <w:rPr>
                <w:rFonts w:eastAsia="Times New Roman" w:cs="Tahoma" w:ascii="Tahoma" w:hAnsi="Tahoma"/>
                <w:color w:val="000000"/>
                <w:sz w:val="18"/>
                <w:szCs w:val="20"/>
                <w:lang w:val="sr-RS" w:eastAsia="sr-Latn-RS"/>
              </w:rPr>
              <w:t>34,1</w:t>
            </w:r>
          </w:p>
        </w:tc>
      </w:tr>
      <w:tr>
        <w:trPr>
          <w:trHeight w:val="279" w:hRule="atLeast"/>
        </w:trPr>
        <w:tc>
          <w:tcPr>
            <w:tcW w:w="7879"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rPr>
                <w:rFonts w:ascii="Tahoma" w:hAnsi="Tahoma" w:eastAsia="Times New Roman" w:cs="Tahoma"/>
                <w:color w:val="000000"/>
                <w:sz w:val="18"/>
                <w:szCs w:val="20"/>
                <w:lang w:val="sr-RS" w:eastAsia="sr-Latn-RS"/>
              </w:rPr>
            </w:pPr>
            <w:r>
              <w:rPr>
                <w:rFonts w:eastAsia="Times New Roman" w:cs="Tahoma" w:ascii="Tahoma" w:hAnsi="Tahoma"/>
                <w:color w:val="000000"/>
                <w:sz w:val="18"/>
                <w:szCs w:val="20"/>
                <w:lang w:val="sr-RS" w:eastAsia="sr-Latn-RS"/>
              </w:rPr>
              <w:t>Релативни јаз ризика од сиромаштва (%)</w:t>
            </w:r>
          </w:p>
        </w:tc>
        <w:tc>
          <w:tcPr>
            <w:tcW w:w="1400"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end"/>
              <w:rPr>
                <w:rFonts w:ascii="Tahoma" w:hAnsi="Tahoma" w:eastAsia="Times New Roman" w:cs="Tahoma"/>
                <w:color w:val="000000"/>
                <w:sz w:val="18"/>
                <w:szCs w:val="20"/>
                <w:lang w:val="sr-RS" w:eastAsia="sr-Latn-RS"/>
              </w:rPr>
            </w:pPr>
            <w:r>
              <w:rPr>
                <w:rFonts w:eastAsia="Times New Roman" w:cs="Tahoma" w:ascii="Tahoma" w:hAnsi="Tahoma"/>
                <w:color w:val="000000"/>
                <w:sz w:val="18"/>
                <w:szCs w:val="20"/>
                <w:lang w:val="sr-RS" w:eastAsia="sr-Latn-RS"/>
              </w:rPr>
              <w:t>11,6</w:t>
            </w:r>
          </w:p>
        </w:tc>
      </w:tr>
    </w:tbl>
    <w:p>
      <w:pPr>
        <w:pStyle w:val="NormalWeb"/>
        <w:spacing w:beforeAutospacing="0" w:before="0" w:afterAutospacing="0" w:after="0"/>
        <w:jc w:val="end"/>
        <w:rPr>
          <w:rFonts w:ascii="Tahoma" w:hAnsi="Tahoma" w:cs="Tahoma"/>
          <w:i/>
          <w:i/>
          <w:sz w:val="20"/>
          <w:lang w:val="sr-RS"/>
        </w:rPr>
      </w:pPr>
      <w:r>
        <w:rPr>
          <w:rFonts w:cs="Tahoma" w:ascii="Tahoma" w:hAnsi="Tahoma"/>
          <w:i/>
          <w:color w:val="000000" w:themeColor="text1"/>
          <w:sz w:val="18"/>
          <w:szCs w:val="22"/>
          <w:lang w:val="sr-RS"/>
        </w:rPr>
        <w:t>Извор: Светска банка и РЗС (ДевИнфо профил општине Беочин)</w:t>
      </w:r>
    </w:p>
    <w:p>
      <w:pPr>
        <w:pStyle w:val="Heading2"/>
        <w:numPr>
          <w:ilvl w:val="1"/>
          <w:numId w:val="1"/>
        </w:numPr>
        <w:spacing w:lineRule="auto" w:line="240"/>
        <w:ind w:start="426" w:hanging="540"/>
        <w:rPr>
          <w:rFonts w:ascii="Tahoma" w:hAnsi="Tahoma" w:cs="Tahoma"/>
          <w:sz w:val="28"/>
          <w:szCs w:val="28"/>
          <w:lang w:val="sr-RS"/>
        </w:rPr>
      </w:pPr>
      <w:bookmarkStart w:id="16" w:name="_Toc188876949"/>
      <w:r>
        <w:rPr>
          <w:rFonts w:cs="Tahoma" w:ascii="Tahoma" w:hAnsi="Tahoma"/>
          <w:sz w:val="28"/>
          <w:szCs w:val="28"/>
          <w:lang w:val="sr-RS"/>
        </w:rPr>
        <w:t>Корисници и обезбеђивање права на социјалну заштиту у општини Беочин</w:t>
      </w:r>
      <w:bookmarkEnd w:id="16"/>
    </w:p>
    <w:p>
      <w:pPr>
        <w:pStyle w:val="Normal"/>
        <w:spacing w:lineRule="auto" w:line="240"/>
        <w:rPr>
          <w:sz w:val="20"/>
          <w:lang w:val="sr-RS"/>
        </w:rPr>
      </w:pPr>
      <w:r>
        <w:rPr>
          <w:sz w:val="20"/>
          <w:lang w:val="sr-RS"/>
        </w:rPr>
      </w:r>
    </w:p>
    <w:p>
      <w:pPr>
        <w:pStyle w:val="ListParagraph"/>
        <w:numPr>
          <w:ilvl w:val="2"/>
          <w:numId w:val="1"/>
        </w:numPr>
        <w:spacing w:lineRule="auto" w:line="240" w:beforeAutospacing="1" w:afterAutospacing="1"/>
        <w:ind w:start="851" w:hanging="851"/>
        <w:contextualSpacing/>
        <w:outlineLvl w:val="2"/>
        <w:rPr>
          <w:rFonts w:ascii="Tahoma" w:hAnsi="Tahoma" w:eastAsia="DejaVu Sans" w:cs="Tahoma" w:eastAsiaTheme="majorEastAsia"/>
          <w:color w:val="0070C0"/>
          <w:sz w:val="24"/>
          <w:szCs w:val="24"/>
          <w:lang w:val="sr-RS"/>
        </w:rPr>
      </w:pPr>
      <w:bookmarkStart w:id="17" w:name="_Toc188876950"/>
      <w:r>
        <w:rPr>
          <w:rFonts w:eastAsia="DejaVu Sans" w:cs="Tahoma" w:ascii="Tahoma" w:hAnsi="Tahoma" w:eastAsiaTheme="majorEastAsia"/>
          <w:color w:val="0070C0"/>
          <w:sz w:val="24"/>
          <w:szCs w:val="24"/>
          <w:lang w:val="sr-RS"/>
        </w:rPr>
        <w:t>Структура корисника социјалне заштите у општини Беочин</w:t>
      </w:r>
      <w:bookmarkEnd w:id="17"/>
    </w:p>
    <w:p>
      <w:pPr>
        <w:pStyle w:val="Normal"/>
        <w:spacing w:lineRule="auto" w:line="240" w:before="0" w:after="0"/>
        <w:jc w:val="both"/>
        <w:rPr>
          <w:rFonts w:ascii="Tahoma" w:hAnsi="Tahoma" w:cs="Tahoma"/>
          <w:sz w:val="20"/>
          <w:szCs w:val="20"/>
          <w:lang w:val="sr-RS"/>
        </w:rPr>
      </w:pPr>
      <w:r>
        <w:rPr>
          <w:rFonts w:cs="Tahoma" w:ascii="Tahoma" w:hAnsi="Tahoma"/>
          <w:sz w:val="20"/>
          <w:szCs w:val="20"/>
          <w:lang w:val="sr-RS"/>
        </w:rPr>
        <w:t xml:space="preserve">Центар за социјални рад обезбеђује податке о укупном броју и структури корисника у току године, и податке о поступцима које је ЦСР предузео у оквиру социјалне и породично-правне заштите. Наредни подаци су преузети из извештаја о раду ЦСР Нови Сад – Одељење у Беочину за 2021., 2022. и 2023. годину. </w:t>
      </w:r>
    </w:p>
    <w:p>
      <w:pPr>
        <w:pStyle w:val="Normal"/>
        <w:spacing w:lineRule="auto" w:line="240" w:before="0" w:after="0"/>
        <w:jc w:val="both"/>
        <w:rPr>
          <w:rFonts w:ascii="Tahoma" w:hAnsi="Tahoma" w:cs="Tahoma"/>
          <w:sz w:val="20"/>
          <w:szCs w:val="20"/>
          <w:lang w:val="sr-RS"/>
        </w:rPr>
      </w:pPr>
      <w:r>
        <w:rPr>
          <w:rFonts w:cs="Tahoma" w:ascii="Tahoma" w:hAnsi="Tahoma"/>
          <w:sz w:val="20"/>
          <w:szCs w:val="20"/>
          <w:lang w:val="sr-RS"/>
        </w:rPr>
      </w:r>
    </w:p>
    <w:p>
      <w:pPr>
        <w:pStyle w:val="Normal"/>
        <w:spacing w:lineRule="auto" w:line="240" w:before="0" w:after="0"/>
        <w:jc w:val="both"/>
        <w:rPr>
          <w:rFonts w:ascii="Tahoma" w:hAnsi="Tahoma" w:cs="Tahoma"/>
          <w:b/>
          <w:b/>
          <w:sz w:val="20"/>
          <w:szCs w:val="20"/>
          <w:lang w:val="sr-CS"/>
        </w:rPr>
      </w:pPr>
      <w:r>
        <w:rPr>
          <w:rFonts w:cs="Tahoma" w:ascii="Tahoma" w:hAnsi="Tahoma"/>
          <w:b/>
          <w:sz w:val="20"/>
          <w:szCs w:val="20"/>
          <w:lang w:val="sr-CS"/>
        </w:rPr>
        <w:t xml:space="preserve">Корисници социјалне и породично-правне заштите чине </w:t>
      </w:r>
      <w:r>
        <w:rPr>
          <w:rFonts w:cs="Tahoma" w:ascii="Tahoma" w:hAnsi="Tahoma"/>
          <w:b/>
          <w:sz w:val="20"/>
          <w:szCs w:val="20"/>
          <w:lang w:val="sr-Latn-CS"/>
        </w:rPr>
        <w:t>11,</w:t>
      </w:r>
      <w:r>
        <w:rPr>
          <w:rFonts w:cs="Tahoma" w:ascii="Tahoma" w:hAnsi="Tahoma"/>
          <w:b/>
          <w:sz w:val="20"/>
          <w:szCs w:val="20"/>
          <w:lang w:val="sr-CS"/>
        </w:rPr>
        <w:t>9</w:t>
      </w:r>
      <w:r>
        <w:rPr>
          <w:rFonts w:cs="Tahoma" w:ascii="Tahoma" w:hAnsi="Tahoma"/>
          <w:b/>
          <w:sz w:val="20"/>
          <w:szCs w:val="20"/>
          <w:lang w:val="sr-Latn-CS"/>
        </w:rPr>
        <w:t xml:space="preserve"> </w:t>
      </w:r>
      <w:r>
        <w:rPr>
          <w:rFonts w:cs="Tahoma" w:ascii="Tahoma" w:hAnsi="Tahoma"/>
          <w:b/>
          <w:sz w:val="20"/>
          <w:szCs w:val="20"/>
          <w:lang w:val="sr-CS"/>
        </w:rPr>
        <w:t>% укупног броја становника</w:t>
      </w:r>
      <w:r>
        <w:rPr>
          <w:rFonts w:cs="Tahoma" w:ascii="Tahoma" w:hAnsi="Tahoma"/>
          <w:sz w:val="20"/>
          <w:szCs w:val="20"/>
          <w:lang w:val="sr-CS"/>
        </w:rPr>
        <w:t xml:space="preserve"> општине Беочин. У току 2023. године реализовано је је 3.687</w:t>
      </w:r>
      <w:r>
        <w:rPr>
          <w:rFonts w:cs="Tahoma" w:ascii="Tahoma" w:hAnsi="Tahoma"/>
          <w:sz w:val="20"/>
          <w:szCs w:val="20"/>
          <w:lang w:val="sr-Latn-CS"/>
        </w:rPr>
        <w:t xml:space="preserve"> </w:t>
      </w:r>
      <w:r>
        <w:rPr>
          <w:rFonts w:cs="Tahoma" w:ascii="Tahoma" w:hAnsi="Tahoma"/>
          <w:sz w:val="20"/>
          <w:szCs w:val="20"/>
          <w:lang w:val="sr-CS"/>
        </w:rPr>
        <w:t xml:space="preserve">права, мера и услуга социјалне и породично-правне заштите. </w:t>
      </w:r>
      <w:r>
        <w:rPr>
          <w:rFonts w:cs="Tahoma" w:ascii="Tahoma" w:hAnsi="Tahoma"/>
          <w:b/>
          <w:sz w:val="20"/>
          <w:szCs w:val="20"/>
          <w:lang w:val="sr-CS"/>
        </w:rPr>
        <w:t xml:space="preserve">То представља смањење броја реализованих права, мера и услуга  за 6 %, иако је број корисника и номинално и процентуално увећан у односу на претходну годину. </w:t>
      </w:r>
    </w:p>
    <w:p>
      <w:pPr>
        <w:pStyle w:val="Normal"/>
        <w:spacing w:lineRule="auto" w:line="240" w:before="0" w:after="0"/>
        <w:jc w:val="both"/>
        <w:rPr>
          <w:rFonts w:ascii="Tahoma" w:hAnsi="Tahoma" w:eastAsia="Times New Roman" w:cs="Tahoma"/>
          <w:bCs/>
          <w:i/>
          <w:i/>
          <w:color w:val="1F4E79" w:themeColor="accent5" w:themeShade="80"/>
          <w:sz w:val="18"/>
          <w:szCs w:val="20"/>
          <w:lang w:val="sr-RS" w:eastAsia="sr-Latn-RS"/>
        </w:rPr>
      </w:pPr>
      <w:r>
        <w:rPr>
          <w:rFonts w:eastAsia="Times New Roman" w:cs="Tahoma" w:ascii="Tahoma" w:hAnsi="Tahoma"/>
          <w:bCs/>
          <w:i/>
          <w:color w:val="1F4E79" w:themeColor="accent5" w:themeShade="80"/>
          <w:sz w:val="18"/>
          <w:szCs w:val="20"/>
          <w:lang w:val="sr-RS" w:eastAsia="sr-Latn-RS"/>
        </w:rPr>
      </w:r>
    </w:p>
    <w:p>
      <w:pPr>
        <w:pStyle w:val="Normal"/>
        <w:spacing w:before="0" w:after="0"/>
        <w:rPr>
          <w:rFonts w:ascii="Tahoma" w:hAnsi="Tahoma" w:cs="Tahoma"/>
          <w:color w:val="1F4E79" w:themeColor="accent5" w:themeShade="80"/>
          <w:lang w:val="sr-RS"/>
        </w:rPr>
      </w:pPr>
      <w:r>
        <w:rPr>
          <w:rFonts w:eastAsia="Times New Roman" w:cs="Tahoma" w:ascii="Tahoma" w:hAnsi="Tahoma"/>
          <w:bCs/>
          <w:i/>
          <w:color w:val="1F4E79" w:themeColor="accent5" w:themeShade="80"/>
          <w:sz w:val="18"/>
          <w:szCs w:val="20"/>
          <w:lang w:val="sr-RS" w:eastAsia="sr-Latn-RS"/>
        </w:rPr>
        <w:t xml:space="preserve">Графикон 5: </w:t>
      </w:r>
      <w:r>
        <w:rPr>
          <w:rFonts w:eastAsia="Times New Roman" w:cs="Tahoma" w:ascii="Tahoma" w:hAnsi="Tahoma"/>
          <w:i/>
          <w:color w:val="1F4E79" w:themeColor="accent5" w:themeShade="80"/>
          <w:sz w:val="18"/>
          <w:szCs w:val="18"/>
          <w:lang w:val="sr-RS"/>
        </w:rPr>
        <w:t>Тренд укупног  броја корисника у регистру ЦСР на активној евиденцији према старости и полу</w:t>
      </w:r>
    </w:p>
    <w:p>
      <w:pPr>
        <w:pStyle w:val="Normal"/>
        <w:tabs>
          <w:tab w:val="clear" w:pos="720"/>
          <w:tab w:val="left" w:pos="2660" w:leader="none"/>
        </w:tabs>
        <w:spacing w:lineRule="auto" w:line="240" w:before="0" w:after="0"/>
        <w:jc w:val="both"/>
        <w:rPr>
          <w:rFonts w:ascii="Tahoma" w:hAnsi="Tahoma" w:cs="Tahoma"/>
          <w:sz w:val="18"/>
          <w:szCs w:val="20"/>
          <w:lang w:val="sr-CS"/>
        </w:rPr>
      </w:pPr>
      <w:r>
        <w:rPr/>
        <w:drawing>
          <wp:inline distT="0" distB="0" distL="0" distR="0">
            <wp:extent cx="5930900" cy="2743200"/>
            <wp:effectExtent l="0" t="0" r="0" b="0"/>
            <wp:docPr id="9"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pStyle w:val="Normal"/>
        <w:spacing w:before="0" w:after="0"/>
        <w:jc w:val="end"/>
        <w:rPr>
          <w:rFonts w:ascii="Tahoma" w:hAnsi="Tahoma" w:cs="Tahoma"/>
          <w:i/>
          <w:i/>
          <w:lang w:val="sr-RS"/>
        </w:rPr>
      </w:pPr>
      <w:r>
        <w:rPr>
          <w:rFonts w:eastAsia="Times New Roman" w:cs="Tahoma" w:ascii="Tahoma" w:hAnsi="Tahoma"/>
          <w:i/>
          <w:sz w:val="18"/>
          <w:szCs w:val="18"/>
          <w:lang w:val="sr-RS"/>
        </w:rPr>
        <w:t>Извор: Извештај ЦСР за 2021, 2022 и 2023.годину</w:t>
      </w:r>
    </w:p>
    <w:p>
      <w:pPr>
        <w:pStyle w:val="Normal"/>
        <w:spacing w:lineRule="auto" w:line="240" w:before="0" w:after="0"/>
        <w:jc w:val="both"/>
        <w:rPr>
          <w:rFonts w:ascii="Tahoma" w:hAnsi="Tahoma" w:cs="Tahoma"/>
          <w:sz w:val="20"/>
          <w:szCs w:val="20"/>
          <w:lang w:val="sr-RS"/>
        </w:rPr>
      </w:pPr>
      <w:r>
        <w:rPr>
          <w:rFonts w:cs="Tahoma" w:ascii="Tahoma" w:hAnsi="Tahoma"/>
          <w:sz w:val="20"/>
          <w:szCs w:val="20"/>
          <w:lang w:val="sr-RS"/>
        </w:rPr>
      </w:r>
    </w:p>
    <w:p>
      <w:pPr>
        <w:pStyle w:val="Normal"/>
        <w:spacing w:lineRule="auto" w:line="240" w:before="0" w:after="0"/>
        <w:jc w:val="both"/>
        <w:rPr>
          <w:rFonts w:ascii="Tahoma" w:hAnsi="Tahoma" w:cs="Tahoma"/>
          <w:sz w:val="20"/>
          <w:szCs w:val="20"/>
          <w:lang w:val="sr-RS"/>
        </w:rPr>
      </w:pPr>
      <w:r>
        <w:rPr>
          <w:rFonts w:cs="Tahoma" w:ascii="Tahoma" w:hAnsi="Tahoma"/>
          <w:sz w:val="20"/>
          <w:szCs w:val="20"/>
          <w:lang w:val="ru-RU"/>
        </w:rPr>
        <w:t>У току 202</w:t>
      </w:r>
      <w:r>
        <w:rPr>
          <w:rFonts w:cs="Tahoma" w:ascii="Tahoma" w:hAnsi="Tahoma"/>
          <w:sz w:val="20"/>
          <w:szCs w:val="20"/>
          <w:lang w:val="sr-CS"/>
        </w:rPr>
        <w:t>3</w:t>
      </w:r>
      <w:r>
        <w:rPr>
          <w:rFonts w:cs="Tahoma" w:ascii="Tahoma" w:hAnsi="Tahoma"/>
          <w:sz w:val="20"/>
          <w:szCs w:val="20"/>
          <w:lang w:val="ru-RU"/>
        </w:rPr>
        <w:t xml:space="preserve">. године у Општини Беочин, евидентирано је </w:t>
      </w:r>
      <w:r>
        <w:rPr>
          <w:rFonts w:cs="Tahoma" w:ascii="Tahoma" w:hAnsi="Tahoma"/>
          <w:sz w:val="20"/>
          <w:szCs w:val="20"/>
          <w:lang w:val="sr-CS"/>
        </w:rPr>
        <w:t xml:space="preserve">1654 </w:t>
      </w:r>
      <w:r>
        <w:rPr>
          <w:rFonts w:cs="Tahoma" w:ascii="Tahoma" w:hAnsi="Tahoma"/>
          <w:sz w:val="20"/>
          <w:szCs w:val="20"/>
          <w:lang w:val="ru-RU"/>
        </w:rPr>
        <w:t xml:space="preserve"> корисника социјалне и породично-правне заштите. Индекс укупног броја корисника у односу на претходну годину износи 104</w:t>
      </w:r>
      <w:r>
        <w:rPr>
          <w:rFonts w:cs="Tahoma" w:ascii="Tahoma" w:hAnsi="Tahoma"/>
          <w:sz w:val="20"/>
          <w:szCs w:val="20"/>
          <w:lang w:val="sr-Latn-CS"/>
        </w:rPr>
        <w:t xml:space="preserve">, </w:t>
      </w:r>
      <w:r>
        <w:rPr>
          <w:rFonts w:cs="Tahoma" w:ascii="Tahoma" w:hAnsi="Tahoma"/>
          <w:sz w:val="20"/>
          <w:szCs w:val="20"/>
          <w:lang w:val="sr-CS"/>
        </w:rPr>
        <w:t>што значи да се број корисника, социјалне и породично-правне заштите, у 202</w:t>
      </w:r>
      <w:r>
        <w:rPr>
          <w:rFonts w:cs="Tahoma" w:ascii="Tahoma" w:hAnsi="Tahoma"/>
          <w:sz w:val="20"/>
          <w:szCs w:val="20"/>
          <w:lang w:val="ru-RU"/>
        </w:rPr>
        <w:t>3</w:t>
      </w:r>
      <w:r>
        <w:rPr>
          <w:rFonts w:cs="Tahoma" w:ascii="Tahoma" w:hAnsi="Tahoma"/>
          <w:sz w:val="20"/>
          <w:szCs w:val="20"/>
          <w:lang w:val="sr-CS"/>
        </w:rPr>
        <w:t xml:space="preserve">. години, </w:t>
      </w:r>
      <w:r>
        <w:rPr>
          <w:rFonts w:cs="Tahoma" w:ascii="Tahoma" w:hAnsi="Tahoma"/>
          <w:sz w:val="20"/>
          <w:szCs w:val="20"/>
          <w:lang w:val="ru-RU"/>
        </w:rPr>
        <w:t>повећао</w:t>
      </w:r>
      <w:r>
        <w:rPr>
          <w:rFonts w:cs="Tahoma" w:ascii="Tahoma" w:hAnsi="Tahoma"/>
          <w:sz w:val="20"/>
          <w:szCs w:val="20"/>
          <w:lang w:val="sr-CS"/>
        </w:rPr>
        <w:t xml:space="preserve"> за</w:t>
      </w:r>
      <w:r>
        <w:rPr>
          <w:rFonts w:cs="Tahoma" w:ascii="Tahoma" w:hAnsi="Tahoma"/>
          <w:sz w:val="20"/>
          <w:szCs w:val="20"/>
          <w:lang w:val="ru-RU"/>
        </w:rPr>
        <w:t xml:space="preserve"> 4</w:t>
      </w:r>
      <w:r>
        <w:rPr>
          <w:rFonts w:cs="Tahoma" w:ascii="Tahoma" w:hAnsi="Tahoma"/>
          <w:sz w:val="20"/>
          <w:szCs w:val="20"/>
          <w:lang w:val="sr-CS"/>
        </w:rPr>
        <w:t>%. Посматрано по старосним групама у укупном броју корисника дец</w:t>
      </w:r>
      <w:r>
        <w:rPr>
          <w:rFonts w:cs="Tahoma" w:ascii="Tahoma" w:hAnsi="Tahoma"/>
          <w:sz w:val="20"/>
          <w:szCs w:val="20"/>
          <w:lang w:val="sr-Latn-CS"/>
        </w:rPr>
        <w:t xml:space="preserve">a </w:t>
      </w:r>
      <w:r>
        <w:rPr>
          <w:rFonts w:cs="Tahoma" w:ascii="Tahoma" w:hAnsi="Tahoma"/>
          <w:sz w:val="20"/>
          <w:szCs w:val="20"/>
          <w:lang w:val="sr-CS"/>
        </w:rPr>
        <w:t>чине 25,2%, млади 9,9%, одрасли 52,4% и стари 12,5%.</w:t>
      </w:r>
    </w:p>
    <w:p>
      <w:pPr>
        <w:pStyle w:val="Normal"/>
        <w:spacing w:lineRule="auto" w:line="240" w:before="0" w:after="0"/>
        <w:jc w:val="both"/>
        <w:rPr>
          <w:rFonts w:ascii="Tahoma" w:hAnsi="Tahoma" w:cs="Tahoma"/>
          <w:sz w:val="20"/>
          <w:szCs w:val="20"/>
          <w:lang w:val="ru-RU"/>
        </w:rPr>
      </w:pPr>
      <w:r>
        <w:rPr>
          <w:rFonts w:cs="Tahoma" w:ascii="Tahoma" w:hAnsi="Tahoma"/>
          <w:sz w:val="20"/>
          <w:szCs w:val="20"/>
          <w:lang w:val="ru-RU"/>
        </w:rPr>
      </w:r>
    </w:p>
    <w:p>
      <w:pPr>
        <w:pStyle w:val="Normal"/>
        <w:spacing w:lineRule="auto" w:line="240" w:before="0" w:after="0"/>
        <w:jc w:val="both"/>
        <w:rPr>
          <w:rFonts w:ascii="Tahoma" w:hAnsi="Tahoma" w:eastAsia="Times New Roman" w:cs="Tahoma"/>
          <w:kern w:val="0"/>
          <w:sz w:val="20"/>
          <w:szCs w:val="24"/>
          <w:lang w:val="sr-RS" w:eastAsia="sr-Latn-RS"/>
          <w14:ligatures w14:val="none"/>
        </w:rPr>
      </w:pPr>
      <w:r>
        <w:rPr>
          <w:rFonts w:eastAsia="Times New Roman" w:cs="Tahoma" w:ascii="Tahoma" w:hAnsi="Tahoma"/>
          <w:kern w:val="0"/>
          <w:sz w:val="20"/>
          <w:szCs w:val="24"/>
          <w:lang w:val="sr-Latn-RS" w:eastAsia="sr-Latn-RS"/>
          <w14:ligatures w14:val="none"/>
        </w:rPr>
        <w:t>У урбаним (градским) подручјима, број корисника је релативно стабилан, али са благим падом од 1138 корисника у 2021. години на 1059 у 2023. години. У осталим подручјима, укупан број корисника је такође опао са 568 у 2021. на 539 у 2022, а затим порастао на 595 у 2023. години.</w:t>
      </w:r>
      <w:r>
        <w:rPr>
          <w:rFonts w:eastAsia="Times New Roman" w:cs="Tahoma" w:ascii="Tahoma" w:hAnsi="Tahoma"/>
          <w:kern w:val="0"/>
          <w:sz w:val="20"/>
          <w:szCs w:val="24"/>
          <w:lang w:val="sr-RS" w:eastAsia="sr-Latn-RS"/>
          <w14:ligatures w14:val="none"/>
        </w:rPr>
        <w:t xml:space="preserve"> </w:t>
      </w:r>
      <w:r>
        <w:rPr>
          <w:rFonts w:eastAsia="Times New Roman" w:cs="Tahoma" w:ascii="Tahoma" w:hAnsi="Tahoma"/>
          <w:kern w:val="0"/>
          <w:sz w:val="20"/>
          <w:szCs w:val="24"/>
          <w:lang w:val="sr-Latn-RS" w:eastAsia="sr-Latn-RS"/>
          <w14:ligatures w14:val="none"/>
        </w:rPr>
        <w:t xml:space="preserve">У градским подручјима, број жена корисница је конзистентно виши него </w:t>
      </w:r>
      <w:r>
        <w:rPr>
          <w:rFonts w:eastAsia="Times New Roman" w:cs="Tahoma" w:ascii="Tahoma" w:hAnsi="Tahoma"/>
          <w:kern w:val="0"/>
          <w:sz w:val="20"/>
          <w:szCs w:val="24"/>
          <w:lang w:val="sr-RS" w:eastAsia="sr-Latn-RS"/>
          <w14:ligatures w14:val="none"/>
        </w:rPr>
        <w:t xml:space="preserve">број </w:t>
      </w:r>
      <w:r>
        <w:rPr>
          <w:rFonts w:eastAsia="Times New Roman" w:cs="Tahoma" w:ascii="Tahoma" w:hAnsi="Tahoma"/>
          <w:kern w:val="0"/>
          <w:sz w:val="20"/>
          <w:szCs w:val="24"/>
          <w:lang w:val="sr-Latn-RS" w:eastAsia="sr-Latn-RS"/>
          <w14:ligatures w14:val="none"/>
        </w:rPr>
        <w:t xml:space="preserve">мушкараца, што је тренд који се наставља и у осталим подручјима. На пример, у 2023. години у градским подручјима било је 548 жена корисница у поређењу са 511 мушкараца. У осталим подручјима такође је приметно да жене чине већи део популације корисника, али са мањим разликама </w:t>
      </w:r>
      <w:r>
        <w:rPr>
          <w:rFonts w:eastAsia="Times New Roman" w:cs="Tahoma" w:ascii="Tahoma" w:hAnsi="Tahoma"/>
          <w:kern w:val="0"/>
          <w:sz w:val="20"/>
          <w:szCs w:val="24"/>
          <w:lang w:val="sr-RS" w:eastAsia="sr-Latn-RS"/>
          <w14:ligatures w14:val="none"/>
        </w:rPr>
        <w:t>него што су у</w:t>
      </w:r>
      <w:r>
        <w:rPr>
          <w:rFonts w:eastAsia="Times New Roman" w:cs="Tahoma" w:ascii="Tahoma" w:hAnsi="Tahoma"/>
          <w:kern w:val="0"/>
          <w:sz w:val="20"/>
          <w:szCs w:val="24"/>
          <w:lang w:val="sr-Latn-RS" w:eastAsia="sr-Latn-RS"/>
          <w14:ligatures w14:val="none"/>
        </w:rPr>
        <w:t xml:space="preserve"> градск</w:t>
      </w:r>
      <w:r>
        <w:rPr>
          <w:rFonts w:eastAsia="Times New Roman" w:cs="Tahoma" w:ascii="Tahoma" w:hAnsi="Tahoma"/>
          <w:kern w:val="0"/>
          <w:sz w:val="20"/>
          <w:szCs w:val="24"/>
          <w:lang w:val="sr-RS" w:eastAsia="sr-Latn-RS"/>
          <w14:ligatures w14:val="none"/>
        </w:rPr>
        <w:t>ом</w:t>
      </w:r>
      <w:r>
        <w:rPr>
          <w:rFonts w:eastAsia="Times New Roman" w:cs="Tahoma" w:ascii="Tahoma" w:hAnsi="Tahoma"/>
          <w:kern w:val="0"/>
          <w:sz w:val="20"/>
          <w:szCs w:val="24"/>
          <w:lang w:val="sr-Latn-RS" w:eastAsia="sr-Latn-RS"/>
          <w14:ligatures w14:val="none"/>
        </w:rPr>
        <w:t xml:space="preserve"> подручј</w:t>
      </w:r>
      <w:r>
        <w:rPr>
          <w:rFonts w:eastAsia="Times New Roman" w:cs="Tahoma" w:ascii="Tahoma" w:hAnsi="Tahoma"/>
          <w:kern w:val="0"/>
          <w:sz w:val="20"/>
          <w:szCs w:val="24"/>
          <w:lang w:val="sr-RS" w:eastAsia="sr-Latn-RS"/>
          <w14:ligatures w14:val="none"/>
        </w:rPr>
        <w:t>у</w:t>
      </w:r>
      <w:r>
        <w:rPr>
          <w:rFonts w:eastAsia="Times New Roman" w:cs="Tahoma" w:ascii="Tahoma" w:hAnsi="Tahoma"/>
          <w:kern w:val="0"/>
          <w:sz w:val="20"/>
          <w:szCs w:val="24"/>
          <w:lang w:val="sr-Latn-RS" w:eastAsia="sr-Latn-RS"/>
          <w14:ligatures w14:val="none"/>
        </w:rPr>
        <w:t>.</w:t>
      </w:r>
      <w:r>
        <w:rPr>
          <w:rFonts w:eastAsia="Times New Roman" w:cs="Tahoma" w:ascii="Tahoma" w:hAnsi="Tahoma"/>
          <w:kern w:val="0"/>
          <w:sz w:val="20"/>
          <w:szCs w:val="24"/>
          <w:lang w:val="sr-RS" w:eastAsia="sr-Latn-RS"/>
          <w14:ligatures w14:val="none"/>
        </w:rPr>
        <w:t xml:space="preserve"> </w:t>
      </w:r>
    </w:p>
    <w:p>
      <w:pPr>
        <w:pStyle w:val="Normal"/>
        <w:spacing w:lineRule="auto" w:line="240" w:beforeAutospacing="1" w:afterAutospacing="1"/>
        <w:jc w:val="both"/>
        <w:rPr>
          <w:rFonts w:ascii="Tahoma" w:hAnsi="Tahoma" w:eastAsia="Times New Roman" w:cs="Tahoma"/>
          <w:kern w:val="0"/>
          <w:sz w:val="20"/>
          <w:szCs w:val="24"/>
          <w:lang w:val="sr-RS" w:eastAsia="sr-Latn-RS"/>
          <w14:ligatures w14:val="none"/>
        </w:rPr>
      </w:pPr>
      <w:r>
        <w:rPr>
          <w:rFonts w:eastAsia="Times New Roman" w:cs="Tahoma" w:ascii="Tahoma" w:hAnsi="Tahoma"/>
          <w:kern w:val="0"/>
          <w:sz w:val="20"/>
          <w:szCs w:val="24"/>
          <w:lang w:val="sr-Latn-RS" w:eastAsia="sr-Latn-RS"/>
          <w14:ligatures w14:val="none"/>
        </w:rPr>
        <w:t>У оба подручја примећен је опадајући тренд броја деце на евиденцији од 2021. до 2023. године.</w:t>
      </w:r>
      <w:r>
        <w:rPr>
          <w:rFonts w:eastAsia="Times New Roman" w:cs="Tahoma" w:ascii="Tahoma" w:hAnsi="Tahoma"/>
          <w:kern w:val="0"/>
          <w:sz w:val="20"/>
          <w:szCs w:val="24"/>
          <w:lang w:val="sr-RS" w:eastAsia="sr-Latn-RS"/>
          <w14:ligatures w14:val="none"/>
        </w:rPr>
        <w:t xml:space="preserve"> </w:t>
      </w:r>
      <w:r>
        <w:rPr>
          <w:rFonts w:eastAsia="Times New Roman" w:cs="Tahoma" w:ascii="Tahoma" w:hAnsi="Tahoma"/>
          <w:kern w:val="0"/>
          <w:sz w:val="20"/>
          <w:szCs w:val="24"/>
          <w:lang w:val="sr-Latn-RS" w:eastAsia="sr-Latn-RS"/>
          <w14:ligatures w14:val="none"/>
        </w:rPr>
        <w:t xml:space="preserve">У урбаним срединама група </w:t>
      </w:r>
      <w:r>
        <w:rPr>
          <w:rFonts w:eastAsia="Times New Roman" w:cs="Tahoma" w:ascii="Tahoma" w:hAnsi="Tahoma"/>
          <w:kern w:val="0"/>
          <w:sz w:val="20"/>
          <w:szCs w:val="24"/>
          <w:lang w:val="sr-RS" w:eastAsia="sr-Latn-RS"/>
          <w14:ligatures w14:val="none"/>
        </w:rPr>
        <w:t xml:space="preserve">младих </w:t>
      </w:r>
      <w:r>
        <w:rPr>
          <w:rFonts w:eastAsia="Times New Roman" w:cs="Tahoma" w:ascii="Tahoma" w:hAnsi="Tahoma"/>
          <w:kern w:val="0"/>
          <w:sz w:val="20"/>
          <w:szCs w:val="24"/>
          <w:lang w:val="sr-Latn-RS" w:eastAsia="sr-Latn-RS"/>
          <w14:ligatures w14:val="none"/>
        </w:rPr>
        <w:t>показује варијације, али остаје релативно стабилна, док је у осталим подручјима број младих корисника нешто нижи и мање се мења.</w:t>
      </w:r>
      <w:r>
        <w:rPr>
          <w:rFonts w:eastAsia="Times New Roman" w:cs="Tahoma" w:ascii="Tahoma" w:hAnsi="Tahoma"/>
          <w:kern w:val="0"/>
          <w:sz w:val="20"/>
          <w:szCs w:val="24"/>
          <w:lang w:val="sr-RS" w:eastAsia="sr-Latn-RS"/>
          <w14:ligatures w14:val="none"/>
        </w:rPr>
        <w:t xml:space="preserve"> Кад су у питању одрасли,</w:t>
      </w:r>
      <w:r>
        <w:rPr>
          <w:rFonts w:eastAsia="Times New Roman" w:cs="Tahoma" w:ascii="Tahoma" w:hAnsi="Tahoma"/>
          <w:kern w:val="0"/>
          <w:sz w:val="20"/>
          <w:szCs w:val="24"/>
          <w:lang w:val="sr-Latn-RS" w:eastAsia="sr-Latn-RS"/>
          <w14:ligatures w14:val="none"/>
        </w:rPr>
        <w:t xml:space="preserve"> </w:t>
      </w:r>
      <w:r>
        <w:rPr>
          <w:rFonts w:eastAsia="Times New Roman" w:cs="Tahoma" w:ascii="Tahoma" w:hAnsi="Tahoma"/>
          <w:kern w:val="0"/>
          <w:sz w:val="20"/>
          <w:szCs w:val="24"/>
          <w:lang w:val="sr-RS" w:eastAsia="sr-Latn-RS"/>
          <w14:ligatures w14:val="none"/>
        </w:rPr>
        <w:t xml:space="preserve">у </w:t>
      </w:r>
      <w:r>
        <w:rPr>
          <w:rFonts w:eastAsia="Times New Roman" w:cs="Tahoma" w:ascii="Tahoma" w:hAnsi="Tahoma"/>
          <w:kern w:val="0"/>
          <w:sz w:val="20"/>
          <w:szCs w:val="24"/>
          <w:lang w:val="sr-Latn-RS" w:eastAsia="sr-Latn-RS"/>
          <w14:ligatures w14:val="none"/>
        </w:rPr>
        <w:t>градским подручјима видљив је благи раст ове старосне групе у 2023. у односу на 2022. У осталим подручјима такође је присутан раст одраслих корисника.</w:t>
      </w:r>
      <w:r>
        <w:rPr>
          <w:rFonts w:eastAsia="Times New Roman" w:cs="Tahoma" w:ascii="Tahoma" w:hAnsi="Tahoma"/>
          <w:kern w:val="0"/>
          <w:sz w:val="20"/>
          <w:szCs w:val="24"/>
          <w:lang w:val="sr-RS" w:eastAsia="sr-Latn-RS"/>
          <w14:ligatures w14:val="none"/>
        </w:rPr>
        <w:t xml:space="preserve"> Г</w:t>
      </w:r>
      <w:r>
        <w:rPr>
          <w:rFonts w:eastAsia="Times New Roman" w:cs="Tahoma" w:ascii="Tahoma" w:hAnsi="Tahoma"/>
          <w:kern w:val="0"/>
          <w:sz w:val="20"/>
          <w:szCs w:val="24"/>
          <w:lang w:val="sr-Latn-RS" w:eastAsia="sr-Latn-RS"/>
          <w14:ligatures w14:val="none"/>
        </w:rPr>
        <w:t xml:space="preserve">рупа </w:t>
      </w:r>
      <w:r>
        <w:rPr>
          <w:rFonts w:eastAsia="Times New Roman" w:cs="Tahoma" w:ascii="Tahoma" w:hAnsi="Tahoma"/>
          <w:kern w:val="0"/>
          <w:sz w:val="20"/>
          <w:szCs w:val="24"/>
          <w:lang w:val="sr-RS" w:eastAsia="sr-Latn-RS"/>
          <w14:ligatures w14:val="none"/>
        </w:rPr>
        <w:t xml:space="preserve">старијих </w:t>
      </w:r>
      <w:r>
        <w:rPr>
          <w:rFonts w:eastAsia="Times New Roman" w:cs="Tahoma" w:ascii="Tahoma" w:hAnsi="Tahoma"/>
          <w:kern w:val="0"/>
          <w:sz w:val="20"/>
          <w:szCs w:val="24"/>
          <w:lang w:val="sr-Latn-RS" w:eastAsia="sr-Latn-RS"/>
          <w14:ligatures w14:val="none"/>
        </w:rPr>
        <w:t>бележи пораст у оба подручја, са посебним нагласком на градска подручја где је број старијих корисника нарастао са 73 у 2021. на 115 у 2023. години.</w:t>
      </w:r>
      <w:r>
        <w:rPr>
          <w:rFonts w:eastAsia="Times New Roman" w:cs="Tahoma" w:ascii="Tahoma" w:hAnsi="Tahoma"/>
          <w:kern w:val="0"/>
          <w:sz w:val="20"/>
          <w:szCs w:val="24"/>
          <w:lang w:val="sr-RS" w:eastAsia="sr-Latn-RS"/>
          <w14:ligatures w14:val="none"/>
        </w:rPr>
        <w:t xml:space="preserve"> </w:t>
      </w:r>
      <w:r>
        <w:rPr>
          <w:rFonts w:eastAsia="Times New Roman" w:cs="Tahoma" w:ascii="Tahoma" w:hAnsi="Tahoma"/>
          <w:kern w:val="0"/>
          <w:sz w:val="20"/>
          <w:szCs w:val="24"/>
          <w:lang w:val="sr-Latn-RS" w:eastAsia="sr-Latn-RS"/>
          <w14:ligatures w14:val="none"/>
        </w:rPr>
        <w:t>Ови подаци указују на стабилност и благу промену у структури корисника према старости и полу, уз растући тренд старијих корисника</w:t>
      </w:r>
      <w:r>
        <w:rPr>
          <w:rFonts w:eastAsia="Times New Roman" w:cs="Tahoma" w:ascii="Tahoma" w:hAnsi="Tahoma"/>
          <w:kern w:val="0"/>
          <w:sz w:val="20"/>
          <w:szCs w:val="24"/>
          <w:lang w:val="sr-RS" w:eastAsia="sr-Latn-RS"/>
          <w14:ligatures w14:val="none"/>
        </w:rPr>
        <w:t>.</w:t>
      </w:r>
    </w:p>
    <w:p>
      <w:pPr>
        <w:pStyle w:val="Normal"/>
        <w:spacing w:before="0" w:after="0"/>
        <w:rPr>
          <w:rFonts w:ascii="Tahoma" w:hAnsi="Tahoma" w:cs="Tahoma"/>
          <w:i/>
          <w:i/>
          <w:color w:val="1F4E79" w:themeColor="accent5" w:themeShade="80"/>
          <w:lang w:val="sr-RS"/>
        </w:rPr>
      </w:pPr>
      <w:r>
        <w:rPr>
          <w:rFonts w:eastAsia="Times New Roman" w:cs="Tahoma" w:ascii="Tahoma" w:hAnsi="Tahoma"/>
          <w:i/>
          <w:color w:val="1F4E79" w:themeColor="accent5" w:themeShade="80"/>
          <w:sz w:val="18"/>
          <w:szCs w:val="18"/>
          <w:lang w:val="sr-RS"/>
        </w:rPr>
        <w:t>Графикон 6: Тренд броја деце у регистру ЦСР на активној евиденцији у току године према узрасту и полу</w:t>
      </w:r>
    </w:p>
    <w:p>
      <w:pPr>
        <w:pStyle w:val="Normal"/>
        <w:spacing w:lineRule="auto" w:line="240"/>
        <w:ind w:end="4" w:hanging="0"/>
        <w:jc w:val="both"/>
        <w:rPr>
          <w:rFonts w:ascii="Tahoma" w:hAnsi="Tahoma" w:cs="Tahoma"/>
          <w:color w:val="FF0000"/>
          <w:sz w:val="20"/>
          <w:lang w:val="sr-RS"/>
        </w:rPr>
      </w:pPr>
      <w:r>
        <w:rPr/>
        <w:drawing>
          <wp:inline distT="0" distB="0" distL="0" distR="0">
            <wp:extent cx="5854700" cy="2400300"/>
            <wp:effectExtent l="0" t="0" r="0" b="0"/>
            <wp:docPr id="10"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pPr>
        <w:pStyle w:val="Normal"/>
        <w:jc w:val="end"/>
        <w:rPr>
          <w:rFonts w:ascii="Tahoma" w:hAnsi="Tahoma" w:cs="Tahoma"/>
          <w:lang w:val="sr-RS"/>
        </w:rPr>
      </w:pPr>
      <w:r>
        <w:rPr>
          <w:rFonts w:eastAsia="Times New Roman" w:cs="Tahoma" w:ascii="Tahoma" w:hAnsi="Tahoma"/>
          <w:bCs/>
          <w:i/>
          <w:iCs/>
          <w:sz w:val="18"/>
          <w:szCs w:val="18"/>
          <w:lang w:val="sr-RS"/>
        </w:rPr>
        <w:t xml:space="preserve">Извор: </w:t>
      </w:r>
      <w:r>
        <w:rPr>
          <w:rFonts w:eastAsia="Times New Roman" w:cs="Tahoma" w:ascii="Tahoma" w:hAnsi="Tahoma"/>
          <w:bCs/>
          <w:i/>
          <w:iCs/>
          <w:sz w:val="18"/>
          <w:szCs w:val="18"/>
          <w:shd w:fill="FFFFFF" w:val="clear"/>
          <w:lang w:val="sr-RS"/>
        </w:rPr>
        <w:t>Годишњи извештај Центра за социјални рад за 2021, 2022, 2023.годину.</w:t>
      </w:r>
    </w:p>
    <w:p>
      <w:pPr>
        <w:pStyle w:val="Normal"/>
        <w:spacing w:lineRule="auto" w:line="240"/>
        <w:ind w:end="4" w:hanging="0"/>
        <w:jc w:val="both"/>
        <w:rPr>
          <w:rFonts w:ascii="Tahoma" w:hAnsi="Tahoma" w:cs="Tahoma"/>
          <w:sz w:val="20"/>
          <w:lang w:val="sr-RS"/>
        </w:rPr>
      </w:pPr>
      <w:r>
        <w:rPr>
          <w:rFonts w:cs="Tahoma" w:ascii="Tahoma" w:hAnsi="Tahoma"/>
          <w:sz w:val="20"/>
          <w:lang w:val="sr-RS"/>
        </w:rPr>
        <w:t xml:space="preserve">Кад је у питању број деце, присутан је евидентан пад броја корисника, при чему је број деце узраста 6-14 година највише заступљен у овој корисничкој групи. Најмање је деце узраста 0-2 године. </w:t>
      </w:r>
    </w:p>
    <w:p>
      <w:pPr>
        <w:pStyle w:val="Normal"/>
        <w:spacing w:lineRule="auto" w:line="240" w:beforeAutospacing="1" w:afterAutospacing="1"/>
        <w:jc w:val="both"/>
        <w:rPr>
          <w:rFonts w:ascii="Tahoma" w:hAnsi="Tahoma" w:eastAsia="Times New Roman" w:cs="Tahoma"/>
          <w:kern w:val="0"/>
          <w:sz w:val="20"/>
          <w:szCs w:val="24"/>
          <w:lang w:val="sr-Latn-RS" w:eastAsia="sr-Latn-RS"/>
          <w14:ligatures w14:val="none"/>
        </w:rPr>
      </w:pPr>
      <w:r>
        <w:rPr>
          <w:rFonts w:eastAsia="Times New Roman" w:cs="Tahoma" w:ascii="Tahoma" w:hAnsi="Tahoma"/>
          <w:kern w:val="0"/>
          <w:sz w:val="20"/>
          <w:szCs w:val="24"/>
          <w:lang w:val="sr-Latn-RS" w:eastAsia="sr-Latn-RS"/>
          <w14:ligatures w14:val="none"/>
        </w:rPr>
        <w:t>Примећује се повећање броја деце жртава насиља и занемаривања, који је порастао са 30 у 2021. години на 107 у 2023. години. Слично томе, број деце са проблемима у понашању и у сукобу са законом такође се повећао, са 42 у 2021. години на 67 у 2023. години. Такође, број деце чији се родитељи споре око родитељског права бележи пораст.</w:t>
      </w:r>
      <w:r>
        <w:rPr>
          <w:rFonts w:eastAsia="Times New Roman" w:cs="Tahoma" w:ascii="Tahoma" w:hAnsi="Tahoma"/>
          <w:kern w:val="0"/>
          <w:sz w:val="20"/>
          <w:szCs w:val="24"/>
          <w:lang w:val="sr-RS" w:eastAsia="sr-Latn-RS"/>
          <w14:ligatures w14:val="none"/>
        </w:rPr>
        <w:t xml:space="preserve"> </w:t>
      </w:r>
    </w:p>
    <w:p>
      <w:pPr>
        <w:pStyle w:val="Normal"/>
        <w:spacing w:lineRule="auto" w:line="240" w:before="0" w:after="0"/>
        <w:jc w:val="both"/>
        <w:rPr>
          <w:rFonts w:ascii="Tahoma" w:hAnsi="Tahoma" w:cs="Tahoma"/>
          <w:b/>
          <w:b/>
          <w:sz w:val="20"/>
          <w:szCs w:val="20"/>
          <w:lang w:val="sr-CS"/>
        </w:rPr>
      </w:pPr>
      <w:r>
        <w:rPr>
          <w:rFonts w:cs="Tahoma" w:ascii="Tahoma" w:hAnsi="Tahoma"/>
          <w:sz w:val="20"/>
          <w:szCs w:val="20"/>
          <w:lang w:val="ru-RU"/>
        </w:rPr>
        <w:t>Процентуална структура по подгрупама у 2023. години је била:</w:t>
      </w:r>
      <w:r>
        <w:rPr>
          <w:rFonts w:cs="Tahoma" w:ascii="Tahoma" w:hAnsi="Tahoma"/>
          <w:sz w:val="20"/>
          <w:szCs w:val="20"/>
          <w:lang w:val="sr-CS"/>
        </w:rPr>
        <w:t xml:space="preserve"> деца без родитељског старања – 3,85%, деца занемарена или у ризику од занемаривања – </w:t>
      </w:r>
      <w:r>
        <w:rPr>
          <w:rFonts w:cs="Tahoma" w:ascii="Tahoma" w:hAnsi="Tahoma"/>
          <w:sz w:val="20"/>
          <w:szCs w:val="20"/>
          <w:lang w:val="ru-RU"/>
        </w:rPr>
        <w:t>3,57</w:t>
      </w:r>
      <w:r>
        <w:rPr>
          <w:rFonts w:cs="Tahoma" w:ascii="Tahoma" w:hAnsi="Tahoma"/>
          <w:sz w:val="20"/>
          <w:szCs w:val="20"/>
          <w:lang w:val="sr-CS"/>
        </w:rPr>
        <w:t xml:space="preserve">%, деца жртве насиља – 14,12%, деца и млади са сметњама у развоју и инвалидитетом – </w:t>
      </w:r>
      <w:r>
        <w:rPr>
          <w:rFonts w:cs="Tahoma" w:ascii="Tahoma" w:hAnsi="Tahoma"/>
          <w:sz w:val="20"/>
          <w:szCs w:val="20"/>
          <w:lang w:val="ru-RU"/>
        </w:rPr>
        <w:t>6,28</w:t>
      </w:r>
      <w:r>
        <w:rPr>
          <w:rFonts w:cs="Tahoma" w:ascii="Tahoma" w:hAnsi="Tahoma"/>
          <w:sz w:val="20"/>
          <w:szCs w:val="20"/>
          <w:lang w:val="sr-CS"/>
        </w:rPr>
        <w:t>%, деца и млади са проблемима у понашању –11,98%, деца из породица са поремећеним породичним односима – 9,41%, материјално угрожена деца и млади– 26,25% и остала деца и млади –</w:t>
      </w:r>
      <w:r>
        <w:rPr>
          <w:rFonts w:cs="Tahoma" w:ascii="Tahoma" w:hAnsi="Tahoma"/>
          <w:sz w:val="20"/>
          <w:szCs w:val="20"/>
          <w:lang w:val="ru-RU"/>
        </w:rPr>
        <w:t xml:space="preserve"> </w:t>
      </w:r>
      <w:r>
        <w:rPr>
          <w:rFonts w:cs="Tahoma" w:ascii="Tahoma" w:hAnsi="Tahoma"/>
          <w:sz w:val="20"/>
          <w:szCs w:val="20"/>
          <w:lang w:val="sr-CS"/>
        </w:rPr>
        <w:t xml:space="preserve">24,54%. У групи деце и младих значајну већину чине деца из породица које су материјално угрожене, односно које су корисници новчане социјалне помоћи (26,25%), међутим, </w:t>
      </w:r>
      <w:bookmarkStart w:id="18" w:name="_Toc478942129"/>
      <w:r>
        <w:rPr>
          <w:rFonts w:eastAsia="Times New Roman" w:cs="Tahoma" w:ascii="Tahoma" w:hAnsi="Tahoma"/>
          <w:kern w:val="0"/>
          <w:sz w:val="20"/>
          <w:szCs w:val="24"/>
          <w:lang w:val="sr-Latn-RS" w:eastAsia="sr-Latn-RS"/>
          <w14:ligatures w14:val="none"/>
        </w:rPr>
        <w:t>број деце чије су породице корисници новчане социјалне помоћи значајно је опао, са 318 у 2021. на 159 у 2023. години.</w:t>
      </w:r>
      <w:bookmarkEnd w:id="18"/>
    </w:p>
    <w:p>
      <w:pPr>
        <w:pStyle w:val="Normal"/>
        <w:spacing w:lineRule="auto" w:line="240" w:beforeAutospacing="1" w:afterAutospacing="1"/>
        <w:jc w:val="both"/>
        <w:rPr>
          <w:rFonts w:ascii="Tahoma" w:hAnsi="Tahoma" w:eastAsia="Times New Roman" w:cs="Tahoma"/>
          <w:kern w:val="0"/>
          <w:sz w:val="20"/>
          <w:szCs w:val="24"/>
          <w:lang w:val="sr-Latn-RS" w:eastAsia="sr-Latn-RS"/>
          <w14:ligatures w14:val="none"/>
        </w:rPr>
      </w:pPr>
      <w:r>
        <w:rPr>
          <w:rFonts w:eastAsia="Times New Roman" w:cs="Tahoma" w:ascii="Tahoma" w:hAnsi="Tahoma"/>
          <w:kern w:val="0"/>
          <w:sz w:val="20"/>
          <w:szCs w:val="24"/>
          <w:lang w:val="sr-Latn-RS" w:eastAsia="sr-Latn-RS"/>
          <w14:ligatures w14:val="none"/>
        </w:rPr>
        <w:t>Из података Центра за социјални рад за период 2021-2023. година, видљив је тренд у броју пунолетних корисника у различитим корисничким групама и старосним категоријама. Укупни број корисника варирао је, са благим падом у 2022. години у односу на 2021, али уз поновни раст у 2023. години. Конкретно, материјално угрожене особе представљају најбројнију категорију, што указује на висок ниво потребе за социјалном помоћи међу овом групом.</w:t>
      </w:r>
    </w:p>
    <w:p>
      <w:pPr>
        <w:pStyle w:val="Normal"/>
        <w:spacing w:lineRule="auto" w:line="240" w:beforeAutospacing="1" w:afterAutospacing="1"/>
        <w:jc w:val="both"/>
        <w:rPr>
          <w:rFonts w:ascii="Tahoma" w:hAnsi="Tahoma" w:eastAsia="Times New Roman" w:cs="Tahoma"/>
          <w:kern w:val="0"/>
          <w:sz w:val="20"/>
          <w:szCs w:val="24"/>
          <w:lang w:val="sr-Latn-RS" w:eastAsia="sr-Latn-RS"/>
          <w14:ligatures w14:val="none"/>
        </w:rPr>
      </w:pPr>
      <w:r>
        <w:rPr>
          <w:rFonts w:eastAsia="Times New Roman" w:cs="Tahoma" w:ascii="Tahoma" w:hAnsi="Tahoma"/>
          <w:kern w:val="0"/>
          <w:sz w:val="20"/>
          <w:szCs w:val="24"/>
          <w:lang w:val="sr-Latn-RS" w:eastAsia="sr-Latn-RS"/>
          <w14:ligatures w14:val="none"/>
        </w:rPr>
        <w:t>Такође, особе са инвалидитетом и лица са друштвено неприхватљивим понашањем чине значајан део корисника, а код особа са инвалидитетом забележен је пораст броја у свим старосним категоријама. Иако је укупан број жртава насиља и занемаривања стабилан, важна је стална подршка како би се смањио ризик занемаривања.  Укупни подаци указују на потребу за проширеним програмима социјалне заштите, нарочито за материјално угрожене, особе са инвалидитетом, и групе под високим ризиком као што су жртве насиља.</w:t>
      </w:r>
    </w:p>
    <w:p>
      <w:pPr>
        <w:pStyle w:val="Normal"/>
        <w:spacing w:lineRule="auto" w:line="240" w:before="0" w:after="0"/>
        <w:jc w:val="both"/>
        <w:rPr>
          <w:rFonts w:ascii="Tahoma" w:hAnsi="Tahoma" w:cs="Tahoma"/>
          <w:sz w:val="20"/>
          <w:szCs w:val="20"/>
          <w:lang w:val="sr-CS"/>
        </w:rPr>
      </w:pPr>
      <w:r>
        <w:rPr>
          <w:rFonts w:cs="Tahoma" w:ascii="Tahoma" w:hAnsi="Tahoma"/>
          <w:sz w:val="20"/>
          <w:szCs w:val="20"/>
          <w:lang w:val="ru-RU"/>
        </w:rPr>
        <w:t>Структура одраслих и старих лица према основним категоријама, у току 2023. године, је била следећа: одрасла и стара лица жртве насиља – 6,68%, одрасла</w:t>
      </w:r>
      <w:r>
        <w:rPr>
          <w:rFonts w:cs="Tahoma" w:ascii="Tahoma" w:hAnsi="Tahoma"/>
          <w:sz w:val="20"/>
          <w:szCs w:val="20"/>
          <w:lang w:val="sr-CS"/>
        </w:rPr>
        <w:t xml:space="preserve"> и стара лица са сметњама у развоју и инвалидитетом </w:t>
      </w:r>
      <w:r>
        <w:rPr>
          <w:rFonts w:cs="Tahoma" w:ascii="Tahoma" w:hAnsi="Tahoma"/>
          <w:sz w:val="20"/>
          <w:szCs w:val="20"/>
          <w:lang w:val="ru-RU"/>
        </w:rPr>
        <w:t xml:space="preserve"> – 15%, одрасла лица са проблемима у понашању – </w:t>
      </w:r>
      <w:r>
        <w:rPr>
          <w:rFonts w:cs="Tahoma" w:ascii="Tahoma" w:hAnsi="Tahoma"/>
          <w:sz w:val="20"/>
          <w:szCs w:val="20"/>
          <w:lang w:val="sr-CS"/>
        </w:rPr>
        <w:t>4,21</w:t>
      </w:r>
      <w:r>
        <w:rPr>
          <w:rFonts w:cs="Tahoma" w:ascii="Tahoma" w:hAnsi="Tahoma"/>
          <w:sz w:val="20"/>
          <w:szCs w:val="20"/>
          <w:lang w:val="ru-RU"/>
        </w:rPr>
        <w:t xml:space="preserve">%, одрасла и стара лица из породица са поремећеним породичим односима – </w:t>
      </w:r>
      <w:r>
        <w:rPr>
          <w:rFonts w:cs="Tahoma" w:ascii="Tahoma" w:hAnsi="Tahoma"/>
          <w:sz w:val="20"/>
          <w:szCs w:val="20"/>
          <w:lang w:val="sr-CS"/>
        </w:rPr>
        <w:t>4,3</w:t>
      </w:r>
      <w:r>
        <w:rPr>
          <w:rFonts w:cs="Tahoma" w:ascii="Tahoma" w:hAnsi="Tahoma"/>
          <w:sz w:val="20"/>
          <w:szCs w:val="20"/>
          <w:lang w:val="ru-RU"/>
        </w:rPr>
        <w:t xml:space="preserve">%, материјално угрожена одрасла и стара лица – </w:t>
      </w:r>
      <w:r>
        <w:rPr>
          <w:rFonts w:cs="Tahoma" w:ascii="Tahoma" w:hAnsi="Tahoma"/>
          <w:sz w:val="20"/>
          <w:szCs w:val="20"/>
          <w:lang w:val="sr-CS"/>
        </w:rPr>
        <w:t>40,62</w:t>
      </w:r>
      <w:r>
        <w:rPr>
          <w:rFonts w:cs="Tahoma" w:ascii="Tahoma" w:hAnsi="Tahoma"/>
          <w:sz w:val="20"/>
          <w:szCs w:val="20"/>
          <w:lang w:val="ru-RU"/>
        </w:rPr>
        <w:t xml:space="preserve">%, </w:t>
      </w:r>
      <w:r>
        <w:rPr>
          <w:rFonts w:cs="Tahoma" w:ascii="Tahoma" w:hAnsi="Tahoma"/>
          <w:sz w:val="20"/>
          <w:szCs w:val="20"/>
          <w:lang w:val="sr-CS"/>
        </w:rPr>
        <w:t>одрасла и стара лица са потребама за домским смештајем и другим услугама локалне заједнице</w:t>
      </w:r>
      <w:bookmarkStart w:id="19" w:name="_Toc478942137"/>
      <w:bookmarkStart w:id="20" w:name="_Toc478942136"/>
      <w:r>
        <w:rPr>
          <w:rFonts w:cs="Tahoma" w:ascii="Tahoma" w:hAnsi="Tahoma"/>
          <w:sz w:val="20"/>
          <w:szCs w:val="20"/>
          <w:lang w:val="ru-RU"/>
        </w:rPr>
        <w:t xml:space="preserve"> – 29,18%</w:t>
      </w:r>
      <w:r>
        <w:rPr>
          <w:rFonts w:cs="Tahoma" w:ascii="Tahoma" w:hAnsi="Tahoma"/>
          <w:sz w:val="20"/>
          <w:szCs w:val="20"/>
          <w:lang w:val="sr-Latn-RS"/>
        </w:rPr>
        <w:t xml:space="preserve">. </w:t>
      </w:r>
      <w:bookmarkEnd w:id="20"/>
    </w:p>
    <w:p>
      <w:pPr>
        <w:pStyle w:val="Normal"/>
        <w:spacing w:lineRule="auto" w:line="240" w:before="240" w:after="0"/>
        <w:jc w:val="both"/>
        <w:rPr>
          <w:rFonts w:ascii="Tahoma" w:hAnsi="Tahoma" w:cs="Tahoma"/>
          <w:sz w:val="20"/>
          <w:szCs w:val="20"/>
          <w:lang w:val="sr-CS"/>
        </w:rPr>
      </w:pPr>
      <w:r>
        <w:rPr>
          <w:rFonts w:cs="Tahoma" w:ascii="Tahoma" w:hAnsi="Tahoma"/>
          <w:sz w:val="20"/>
          <w:szCs w:val="20"/>
          <w:lang w:val="sr-CS"/>
        </w:rPr>
        <w:t xml:space="preserve">У току 2023. године евидентирано је 73 одраслих и старих лица који су жртве насиља и то 28 (38,4%) лица из категорије жртава физичког насиља, и 45 (61,6%) лица из категорије жртава емоционалног насиља. Број одраслих и старих лица жртава насиља је, у току 2023. године, умаљио се за 1%. </w:t>
      </w:r>
      <w:bookmarkEnd w:id="19"/>
      <w:r>
        <w:rPr>
          <w:rFonts w:cs="Tahoma" w:ascii="Tahoma" w:hAnsi="Tahoma"/>
          <w:sz w:val="20"/>
          <w:szCs w:val="20"/>
          <w:lang w:val="sr-CS"/>
        </w:rPr>
        <w:t>Број одраслих и старих лица са сметњама у развоју и инвалидитетом у 2023. години износи 108, а увећао се за 8% у односу на претходну годину.</w:t>
      </w:r>
      <w:r>
        <w:rPr>
          <w:rFonts w:cs="Tahoma" w:ascii="Tahoma" w:hAnsi="Tahoma"/>
          <w:b/>
          <w:sz w:val="20"/>
          <w:szCs w:val="20"/>
          <w:lang w:val="sr-CS"/>
        </w:rPr>
        <w:t xml:space="preserve"> </w:t>
      </w:r>
      <w:r>
        <w:rPr>
          <w:rFonts w:cs="Tahoma" w:ascii="Tahoma" w:hAnsi="Tahoma"/>
          <w:sz w:val="20"/>
          <w:szCs w:val="20"/>
          <w:lang w:val="sr-CS"/>
        </w:rPr>
        <w:t>Структура одраслих и старих лица са сметњама у развоју, инвалидитетом и болести (према врсти инвалидитета), у 2023. години, била је: телесни инвалидитет –</w:t>
      </w:r>
      <w:r>
        <w:rPr>
          <w:rFonts w:cs="Tahoma" w:ascii="Tahoma" w:hAnsi="Tahoma"/>
          <w:sz w:val="20"/>
          <w:szCs w:val="20"/>
          <w:lang w:val="sr-Latn-CS"/>
        </w:rPr>
        <w:t xml:space="preserve"> 53,66</w:t>
      </w:r>
      <w:r>
        <w:rPr>
          <w:rFonts w:cs="Tahoma" w:ascii="Tahoma" w:hAnsi="Tahoma"/>
          <w:sz w:val="20"/>
          <w:szCs w:val="20"/>
          <w:lang w:val="sr-CS"/>
        </w:rPr>
        <w:t xml:space="preserve">%, интелектуални инвалидитет – </w:t>
      </w:r>
      <w:r>
        <w:rPr>
          <w:rFonts w:cs="Tahoma" w:ascii="Tahoma" w:hAnsi="Tahoma"/>
          <w:sz w:val="20"/>
          <w:szCs w:val="20"/>
          <w:lang w:val="sr-Latn-CS"/>
        </w:rPr>
        <w:t>14,02</w:t>
      </w:r>
      <w:r>
        <w:rPr>
          <w:rFonts w:cs="Tahoma" w:ascii="Tahoma" w:hAnsi="Tahoma"/>
          <w:sz w:val="20"/>
          <w:szCs w:val="20"/>
          <w:lang w:val="sr-CS"/>
        </w:rPr>
        <w:t xml:space="preserve">%, ментални инвалидитет – 20,73%, сензорни инвалидитет – 8,54% и вишеструка ометеност – </w:t>
      </w:r>
      <w:r>
        <w:rPr>
          <w:rFonts w:cs="Tahoma" w:ascii="Tahoma" w:hAnsi="Tahoma"/>
          <w:sz w:val="20"/>
          <w:szCs w:val="20"/>
          <w:lang w:val="sr-Latn-CS"/>
        </w:rPr>
        <w:t>3,05</w:t>
      </w:r>
      <w:r>
        <w:rPr>
          <w:rFonts w:cs="Tahoma" w:ascii="Tahoma" w:hAnsi="Tahoma"/>
          <w:sz w:val="20"/>
          <w:szCs w:val="20"/>
          <w:lang w:val="sr-CS"/>
        </w:rPr>
        <w:t xml:space="preserve">%. Број одраслих и старих лица са потребама за домским смештајем и другим услугама локалне заједнице повећао за 10% у односу на претходну годину. Структуру ове категорије корисника чине следеће поткатегорије: старачко домаћинство – 2,19%, самачко домаћинство – 1,57%, ограничене </w:t>
      </w:r>
      <w:bookmarkStart w:id="21" w:name="_Hlk6057159"/>
      <w:r>
        <w:rPr>
          <w:rFonts w:cs="Tahoma" w:ascii="Tahoma" w:hAnsi="Tahoma"/>
          <w:sz w:val="20"/>
          <w:szCs w:val="20"/>
          <w:lang w:val="sr-CS"/>
        </w:rPr>
        <w:t>с</w:t>
      </w:r>
      <w:bookmarkEnd w:id="21"/>
      <w:r>
        <w:rPr>
          <w:rFonts w:cs="Tahoma" w:ascii="Tahoma" w:hAnsi="Tahoma"/>
          <w:sz w:val="20"/>
          <w:szCs w:val="20"/>
          <w:lang w:val="sr-CS"/>
        </w:rPr>
        <w:t>пособности и изражене тешкоће за самосталан живот – 14,73%, и остале врсте потреба и проблема – 81,5%.</w:t>
      </w:r>
    </w:p>
    <w:p>
      <w:pPr>
        <w:pStyle w:val="Normal"/>
        <w:spacing w:lineRule="auto" w:line="240" w:before="0" w:after="0"/>
        <w:jc w:val="both"/>
        <w:rPr>
          <w:rFonts w:ascii="Tahoma" w:hAnsi="Tahoma" w:cs="Tahoma"/>
          <w:sz w:val="18"/>
          <w:szCs w:val="20"/>
          <w:lang w:val="sr-CS"/>
        </w:rPr>
      </w:pPr>
      <w:r>
        <w:rPr>
          <w:rFonts w:cs="Tahoma" w:ascii="Tahoma" w:hAnsi="Tahoma"/>
          <w:sz w:val="18"/>
          <w:szCs w:val="20"/>
          <w:lang w:val="sr-CS"/>
        </w:rPr>
      </w:r>
    </w:p>
    <w:p>
      <w:pPr>
        <w:pStyle w:val="Normal"/>
        <w:spacing w:lineRule="auto" w:line="240" w:before="0" w:after="0"/>
        <w:jc w:val="both"/>
        <w:rPr>
          <w:rFonts w:ascii="Tahoma" w:hAnsi="Tahoma" w:cs="Tahoma"/>
          <w:sz w:val="20"/>
          <w:szCs w:val="20"/>
          <w:lang w:val="sr-CS"/>
        </w:rPr>
      </w:pPr>
      <w:r>
        <w:rPr>
          <w:rFonts w:cs="Tahoma" w:ascii="Tahoma" w:hAnsi="Tahoma"/>
          <w:sz w:val="20"/>
          <w:szCs w:val="20"/>
          <w:lang w:val="sr-CS"/>
        </w:rPr>
      </w:r>
    </w:p>
    <w:p>
      <w:pPr>
        <w:pStyle w:val="ListParagraph"/>
        <w:numPr>
          <w:ilvl w:val="2"/>
          <w:numId w:val="1"/>
        </w:numPr>
        <w:spacing w:lineRule="auto" w:line="240" w:beforeAutospacing="1" w:afterAutospacing="1"/>
        <w:ind w:start="851" w:hanging="851"/>
        <w:contextualSpacing/>
        <w:outlineLvl w:val="2"/>
        <w:rPr>
          <w:rFonts w:ascii="Tahoma" w:hAnsi="Tahoma" w:eastAsia="DejaVu Sans" w:cs="Tahoma" w:eastAsiaTheme="majorEastAsia"/>
          <w:color w:val="4472C4" w:themeColor="accent1"/>
          <w:sz w:val="24"/>
          <w:szCs w:val="24"/>
          <w:lang w:val="sr-RS"/>
        </w:rPr>
      </w:pPr>
      <w:bookmarkStart w:id="22" w:name="_Toc188876951"/>
      <w:r>
        <w:rPr>
          <w:rFonts w:eastAsia="DejaVu Sans" w:cs="Tahoma" w:ascii="Tahoma" w:hAnsi="Tahoma" w:eastAsiaTheme="majorEastAsia"/>
          <w:color w:val="4472C4" w:themeColor="accent1"/>
          <w:sz w:val="24"/>
          <w:szCs w:val="24"/>
          <w:lang w:val="sr-RS"/>
        </w:rPr>
        <w:t>Финансирање социјалне заштите у општини Беочин</w:t>
      </w:r>
      <w:bookmarkEnd w:id="22"/>
    </w:p>
    <w:p>
      <w:pPr>
        <w:pStyle w:val="Normal"/>
        <w:shd w:val="clear" w:color="auto" w:fill="FFFFFF"/>
        <w:jc w:val="both"/>
        <w:rPr>
          <w:rFonts w:ascii="Tahoma" w:hAnsi="Tahoma" w:eastAsia="Calibri" w:cs="Tahoma"/>
          <w:sz w:val="20"/>
          <w:lang w:val="en-GB"/>
        </w:rPr>
      </w:pPr>
      <w:r>
        <w:rPr>
          <w:rFonts w:eastAsia="Calibri" w:cs="Tahoma" w:ascii="Tahoma" w:hAnsi="Tahoma"/>
          <w:sz w:val="20"/>
          <w:lang w:val="sr-BA"/>
        </w:rPr>
        <w:t>Законом о буџетском систему</w:t>
      </w:r>
      <w:r>
        <w:rPr>
          <w:rStyle w:val="FootnoteAnchor"/>
          <w:rFonts w:eastAsia="Calibri" w:cs="Tahoma" w:ascii="Tahoma" w:hAnsi="Tahoma"/>
          <w:sz w:val="20"/>
          <w:vertAlign w:val="superscript"/>
          <w:lang w:val="sr-BA"/>
        </w:rPr>
        <w:footnoteReference w:id="66"/>
      </w:r>
      <w:r>
        <w:rPr>
          <w:rFonts w:eastAsia="Calibri" w:cs="Tahoma" w:ascii="Tahoma" w:hAnsi="Tahoma"/>
          <w:sz w:val="20"/>
          <w:lang w:val="sr-BA"/>
        </w:rPr>
        <w:t xml:space="preserve"> прописан је програмски модел буџета, као eфикaсaн мeхaнизaм упрaвљaњa jaвним финaнсиjaмa, у којем се финансирање социјалне заштите налази у оквиру Програма 11 – Социјална и дечија заштита и његова је сврха обезбеђивање свеобухватне социјалне заштите и помоћи најугроженијем становништву локалне самоуправе. Издвајања за социјалну заштиту у буџету oпштине Беочин у оквиру Програма 11, евидентирана су у посебном делу буџета у разделу Општинске управе (раздео 5) у складу са прописаним системом јединствене буџетске класификације према Правилнику о стандардном класификационом оквиру и контном плану за буџетски систем</w:t>
      </w:r>
      <w:r>
        <w:rPr>
          <w:rStyle w:val="FootnoteAnchor"/>
          <w:rFonts w:eastAsia="Calibri" w:cs="Tahoma" w:ascii="Tahoma" w:hAnsi="Tahoma"/>
          <w:sz w:val="20"/>
          <w:vertAlign w:val="superscript"/>
          <w:lang w:val="sr-BA"/>
        </w:rPr>
        <w:footnoteReference w:id="67"/>
      </w:r>
      <w:r>
        <w:rPr>
          <w:rFonts w:eastAsia="Calibri" w:cs="Tahoma" w:ascii="Tahoma" w:hAnsi="Tahoma"/>
          <w:sz w:val="20"/>
          <w:lang w:val="sr-BA"/>
        </w:rPr>
        <w:t>.</w:t>
      </w:r>
    </w:p>
    <w:p>
      <w:pPr>
        <w:pStyle w:val="Normal"/>
        <w:jc w:val="both"/>
        <w:rPr>
          <w:rFonts w:ascii="Tahoma" w:hAnsi="Tahoma" w:eastAsia="Calibri" w:cs="Tahoma"/>
          <w:sz w:val="20"/>
          <w:highlight w:val="yellow"/>
          <w:lang w:val="sr-BA"/>
        </w:rPr>
      </w:pPr>
      <w:r>
        <w:rPr>
          <w:rFonts w:eastAsia="Calibri" w:cs="Tahoma" w:ascii="Tahoma" w:hAnsi="Tahoma"/>
          <w:sz w:val="20"/>
          <w:lang w:val="sr-BA"/>
        </w:rPr>
        <w:t xml:space="preserve">У трогодишњем периоду од 2021. до 2023. године, укупна издвајања за финансирање буџетског Прогрма 11 – Социјална и дечија заштита, кретала су се у износу од 39,9 милиона динара у 2021. години до 76,2 милиона у 2022. години, када је у номиналном износу највише издвојено за социјалну заштиту,  односно 7,3% у односу на укупан реализован буџет. </w:t>
      </w:r>
    </w:p>
    <w:p>
      <w:pPr>
        <w:pStyle w:val="Normal"/>
        <w:jc w:val="both"/>
        <w:rPr>
          <w:rFonts w:ascii="Tahoma" w:hAnsi="Tahoma" w:eastAsia="Calibri" w:cs="Tahoma"/>
          <w:sz w:val="20"/>
          <w:lang w:val="sr-BA"/>
        </w:rPr>
      </w:pPr>
      <w:r>
        <w:rPr>
          <w:rFonts w:eastAsia="Calibri" w:cs="Tahoma" w:ascii="Tahoma" w:hAnsi="Tahoma"/>
          <w:sz w:val="20"/>
          <w:lang w:val="sr-BA"/>
        </w:rPr>
        <w:t>У последње две године, значајно су повећани расходи за социјалну заштиту, тако да је, у 2022. години, повећање расхода за социјалну заштиту скоро дуплирано у односу на 2021. годину, што представља динамичан раст с обзиром на чињеницу да је у 2022. години дошло до смањења укупних расхода и издатака за 11,8% у односу на 2021. годину. У 2023. години за ове намене издвојено је чак 71 милион динара што представља повећање од 77% у односу на 2021. годину.</w:t>
      </w:r>
    </w:p>
    <w:p>
      <w:pPr>
        <w:pStyle w:val="Normal"/>
        <w:jc w:val="both"/>
        <w:rPr>
          <w:rFonts w:ascii="Tahoma" w:hAnsi="Tahoma" w:eastAsia="Calibri" w:cs="Tahoma"/>
          <w:sz w:val="20"/>
          <w:lang w:val="sr-BA"/>
        </w:rPr>
      </w:pPr>
      <w:r>
        <w:rPr>
          <w:rFonts w:eastAsia="Calibri" w:cs="Tahoma" w:ascii="Tahoma" w:hAnsi="Tahoma"/>
          <w:sz w:val="20"/>
          <w:lang w:val="sr-BA"/>
        </w:rPr>
        <w:t xml:space="preserve">Просечно издвајање за социјалну заштиту, односно за Програм 11 – Социјална и дечија заштита, у укупно реализованом буџету у претходне три године, износило је 6,5% (Табела 1 у Прилогу 2), па се може закључити да се ова издвајања крећу у просеку који имају локалне самоуправе у Србији.  </w:t>
      </w:r>
    </w:p>
    <w:p>
      <w:pPr>
        <w:pStyle w:val="Normal"/>
        <w:jc w:val="both"/>
        <w:rPr>
          <w:rFonts w:ascii="Tahoma" w:hAnsi="Tahoma" w:eastAsia="Calibri" w:cs="Tahoma"/>
          <w:sz w:val="20"/>
          <w:highlight w:val="yellow"/>
          <w:lang w:val="sr-BA"/>
        </w:rPr>
      </w:pPr>
      <w:r>
        <w:rPr>
          <w:rFonts w:eastAsia="Calibri" w:cs="Tahoma" w:ascii="Tahoma" w:hAnsi="Tahoma"/>
          <w:sz w:val="20"/>
          <w:lang w:val="sr-BA"/>
        </w:rPr>
        <w:t xml:space="preserve">У оквиру овог буџетског програма, половина расхода се класификује у оквиру функције социјалне заштите, у просеку 51,7%, док је тај проценат у 2021. години био највиши и износио је 57,7%. Друга половина ових расхода намењена је за функцију образовања која је у 2022. години била доминантна са 42,9 милиона динара, што је представљало 56,1% укупних расхода у оквиру буџетског програма 11 – Социјална и дечија заштита. Средства усмерена на образовање у оквиру овог буџетског програма, представљена су у оквиру програмске активности 0019 - Подршка деци и породици са децом и троше се пре свега за: </w:t>
      </w:r>
    </w:p>
    <w:p>
      <w:pPr>
        <w:pStyle w:val="ListParagraph"/>
        <w:numPr>
          <w:ilvl w:val="0"/>
          <w:numId w:val="15"/>
        </w:numPr>
        <w:jc w:val="both"/>
        <w:rPr>
          <w:rFonts w:ascii="Tahoma" w:hAnsi="Tahoma" w:eastAsia="Calibri" w:cs="Tahoma"/>
          <w:sz w:val="20"/>
          <w:lang w:val="sr-BA"/>
        </w:rPr>
      </w:pPr>
      <w:r>
        <w:rPr>
          <w:rFonts w:eastAsia="Calibri" w:cs="Tahoma" w:ascii="Tahoma" w:hAnsi="Tahoma"/>
          <w:sz w:val="20"/>
          <w:lang w:val="sr-BA"/>
        </w:rPr>
        <w:t>регресирање трошкова боравка у предшколској установи ПУ „Љуба Станковић“ (бесплатан вртић за сву децу,</w:t>
      </w:r>
      <w:r>
        <w:rPr/>
        <w:t xml:space="preserve"> </w:t>
      </w:r>
      <w:r>
        <w:rPr>
          <w:rFonts w:eastAsia="Calibri" w:cs="Tahoma" w:ascii="Tahoma" w:hAnsi="Tahoma"/>
          <w:sz w:val="20"/>
          <w:lang w:val="sr-BA"/>
        </w:rPr>
        <w:t>без обзира на материјални положај породице)</w:t>
      </w:r>
      <w:r>
        <w:rPr>
          <w:rStyle w:val="FootnoteAnchor"/>
          <w:rFonts w:eastAsia="Calibri" w:cs="Tahoma" w:ascii="Tahoma" w:hAnsi="Tahoma"/>
          <w:sz w:val="20"/>
          <w:lang w:val="sr-BA"/>
        </w:rPr>
        <w:footnoteReference w:id="68"/>
      </w:r>
      <w:r>
        <w:rPr>
          <w:rFonts w:eastAsia="Calibri" w:cs="Tahoma" w:ascii="Tahoma" w:hAnsi="Tahoma"/>
          <w:sz w:val="20"/>
          <w:lang w:val="sr-BA"/>
        </w:rPr>
        <w:t xml:space="preserve"> </w:t>
      </w:r>
    </w:p>
    <w:p>
      <w:pPr>
        <w:pStyle w:val="ListParagraph"/>
        <w:numPr>
          <w:ilvl w:val="0"/>
          <w:numId w:val="15"/>
        </w:numPr>
        <w:jc w:val="both"/>
        <w:rPr>
          <w:rFonts w:ascii="Tahoma" w:hAnsi="Tahoma" w:eastAsia="Calibri" w:cs="Tahoma"/>
          <w:sz w:val="20"/>
          <w:lang w:val="sr-BA"/>
        </w:rPr>
      </w:pPr>
      <w:r>
        <w:rPr>
          <w:rFonts w:eastAsia="Calibri" w:cs="Tahoma" w:ascii="Tahoma" w:hAnsi="Tahoma"/>
          <w:sz w:val="20"/>
          <w:lang w:val="sr-BA"/>
        </w:rPr>
        <w:t>превоз ученика основних и средњих школа и студената</w:t>
      </w:r>
      <w:r>
        <w:rPr>
          <w:rStyle w:val="FootnoteAnchor"/>
          <w:rFonts w:eastAsia="Calibri" w:cs="Tahoma" w:ascii="Tahoma" w:hAnsi="Tahoma"/>
          <w:sz w:val="20"/>
          <w:lang w:val="sr-BA"/>
        </w:rPr>
        <w:footnoteReference w:id="69"/>
      </w:r>
    </w:p>
    <w:p>
      <w:pPr>
        <w:pStyle w:val="ListParagraph"/>
        <w:numPr>
          <w:ilvl w:val="0"/>
          <w:numId w:val="15"/>
        </w:numPr>
        <w:jc w:val="both"/>
        <w:rPr>
          <w:rFonts w:ascii="Tahoma" w:hAnsi="Tahoma" w:eastAsia="Calibri" w:cs="Tahoma"/>
          <w:sz w:val="20"/>
          <w:lang w:val="sr-BA"/>
        </w:rPr>
      </w:pPr>
      <w:r>
        <w:rPr>
          <w:rFonts w:eastAsia="Calibri" w:cs="Tahoma" w:ascii="Tahoma" w:hAnsi="Tahoma"/>
          <w:sz w:val="20"/>
          <w:lang w:val="sr-BA"/>
        </w:rPr>
        <w:t>превоз деце ометене у развоју као и њихових пратиоца до школе „Милан Петровић“ у Новом Саду</w:t>
      </w:r>
    </w:p>
    <w:p>
      <w:pPr>
        <w:pStyle w:val="ListParagraph"/>
        <w:numPr>
          <w:ilvl w:val="0"/>
          <w:numId w:val="15"/>
        </w:numPr>
        <w:jc w:val="both"/>
        <w:rPr>
          <w:rFonts w:ascii="Tahoma" w:hAnsi="Tahoma" w:eastAsia="Calibri" w:cs="Tahoma"/>
          <w:sz w:val="20"/>
          <w:lang w:val="sr-BA"/>
        </w:rPr>
      </w:pPr>
      <w:r>
        <w:rPr>
          <w:rFonts w:eastAsia="Calibri" w:cs="Tahoma" w:ascii="Tahoma" w:hAnsi="Tahoma"/>
          <w:sz w:val="20"/>
          <w:lang w:val="sr-BA"/>
        </w:rPr>
        <w:t>набавку бесплатних уџбеника према Одлуци о социјалној заштити (за сву децу, социјални статус породице није критеријум)</w:t>
      </w:r>
    </w:p>
    <w:p>
      <w:pPr>
        <w:pStyle w:val="ListParagraph"/>
        <w:numPr>
          <w:ilvl w:val="0"/>
          <w:numId w:val="15"/>
        </w:numPr>
        <w:jc w:val="both"/>
        <w:rPr>
          <w:rFonts w:ascii="Tahoma" w:hAnsi="Tahoma" w:eastAsia="Calibri" w:cs="Tahoma"/>
          <w:sz w:val="20"/>
          <w:lang w:val="sr-BA"/>
        </w:rPr>
      </w:pPr>
      <w:r>
        <w:rPr>
          <w:rFonts w:eastAsia="Calibri" w:cs="Tahoma" w:ascii="Tahoma" w:hAnsi="Tahoma"/>
          <w:sz w:val="20"/>
          <w:lang w:val="sr-BA"/>
        </w:rPr>
        <w:t>стипендије за ученике средњих школа и студенте</w:t>
      </w:r>
      <w:r>
        <w:rPr>
          <w:rStyle w:val="FootnoteAnchor"/>
          <w:rFonts w:eastAsia="Calibri" w:cs="Tahoma" w:ascii="Tahoma" w:hAnsi="Tahoma"/>
          <w:sz w:val="20"/>
          <w:lang w:val="sr-BA"/>
        </w:rPr>
        <w:footnoteReference w:id="70"/>
      </w:r>
      <w:r>
        <w:rPr>
          <w:rFonts w:eastAsia="Calibri" w:cs="Tahoma" w:ascii="Tahoma" w:hAnsi="Tahoma"/>
          <w:sz w:val="20"/>
          <w:lang w:val="sr-BA"/>
        </w:rPr>
        <w:t xml:space="preserve">. </w:t>
      </w:r>
    </w:p>
    <w:p>
      <w:pPr>
        <w:pStyle w:val="Normal"/>
        <w:jc w:val="both"/>
        <w:rPr>
          <w:rFonts w:ascii="Tahoma" w:hAnsi="Tahoma" w:eastAsia="Calibri" w:cs="Tahoma"/>
          <w:sz w:val="20"/>
          <w:lang w:val="sr-BA"/>
        </w:rPr>
      </w:pPr>
      <w:r>
        <w:rPr>
          <w:rFonts w:eastAsia="Calibri" w:cs="Tahoma" w:ascii="Tahoma" w:hAnsi="Tahoma"/>
          <w:sz w:val="20"/>
          <w:lang w:val="sr-BA"/>
        </w:rPr>
        <w:t xml:space="preserve">Општина Беочин прецизно планира средства за Програм 11 и поред тога што се у току израде нацрта буџета обично не располаже информацијама о износу донација и средстава из других извора која ће бити распоређена у току године. Средства из тих извора финансирања, као и расходи за које су ова средства намењена, по правилу нису приказани у иницијалном буџету, већ се укључују у току текуће буџетске године, у поступку ребаланса буџета, односно у складу са чланом 61. Закона о буџетском систему. </w:t>
      </w:r>
    </w:p>
    <w:p>
      <w:pPr>
        <w:pStyle w:val="Normal"/>
        <w:jc w:val="both"/>
        <w:rPr>
          <w:rFonts w:ascii="Tahoma" w:hAnsi="Tahoma" w:eastAsia="Calibri" w:cs="Tahoma"/>
          <w:sz w:val="20"/>
          <w:lang w:val="sr-BA"/>
        </w:rPr>
      </w:pPr>
      <w:r>
        <w:rPr>
          <w:rFonts w:eastAsia="Calibri" w:cs="Tahoma" w:ascii="Tahoma" w:hAnsi="Tahoma"/>
          <w:sz w:val="20"/>
          <w:lang w:val="sr-BA"/>
        </w:rPr>
        <w:t>У наставку су детаљније анализирани структура и тенденције у вези са расходима који се односе на функцију социјалне заштите.</w:t>
      </w:r>
    </w:p>
    <w:p>
      <w:pPr>
        <w:pStyle w:val="Normal"/>
        <w:jc w:val="both"/>
        <w:rPr>
          <w:rFonts w:ascii="Tahoma" w:hAnsi="Tahoma" w:eastAsia="Calibri" w:cs="Tahoma"/>
          <w:sz w:val="20"/>
          <w:lang w:val="sr-BA"/>
        </w:rPr>
      </w:pPr>
      <w:r>
        <w:rPr>
          <w:rFonts w:eastAsia="Calibri" w:cs="Tahoma" w:ascii="Tahoma" w:hAnsi="Tahoma"/>
          <w:b/>
          <w:sz w:val="20"/>
          <w:lang w:val="sr-BA"/>
        </w:rPr>
        <w:t>Услуге социјалне заштите.</w:t>
      </w:r>
      <w:r>
        <w:rPr>
          <w:rFonts w:eastAsia="Calibri" w:cs="Tahoma" w:ascii="Tahoma" w:hAnsi="Tahoma"/>
          <w:sz w:val="20"/>
          <w:lang w:val="sr-BA"/>
        </w:rPr>
        <w:t xml:space="preserve"> Из буџета општине Беочин финансира се дневни </w:t>
      </w:r>
      <w:r>
        <w:rPr>
          <w:rFonts w:eastAsia="Calibri" w:cs="Tahoma" w:ascii="Tahoma" w:hAnsi="Tahoma"/>
          <w:kern w:val="0"/>
          <w:sz w:val="20"/>
          <w:szCs w:val="20"/>
          <w:lang w:val="sr-RS"/>
          <w14:ligatures w14:val="none"/>
        </w:rPr>
        <w:t xml:space="preserve">смештај и исхрана ученика са посебним потребама у школи „Милан Петровић“. Ова услуга, у претходним годинама, у буџету Општине евидентирана је у оквиру Програмске активности „Породични и домски смештај, прихватилишта и друге врсте смештаја“ а у 2025. години у оквиру активности „Дневне услуге у заједници“, под шифром 0902-0016. Општина услугу финансира само из сопственог буџета. Последњих година бележи се опадајући број корисника. </w:t>
      </w:r>
      <w:r>
        <w:rPr>
          <w:rFonts w:eastAsia="Calibri" w:cs="Tahoma" w:ascii="Tahoma" w:hAnsi="Tahoma"/>
          <w:sz w:val="20"/>
          <w:lang w:val="sr-BA"/>
        </w:rPr>
        <w:t xml:space="preserve">На основу извештаја о извршењу одлука о буџету, за ову услугу је највише средстава издвојено </w:t>
      </w:r>
      <w:r>
        <w:rPr>
          <w:rFonts w:eastAsia="Calibri" w:cs="Tahoma" w:ascii="Tahoma" w:hAnsi="Tahoma"/>
          <w:color w:val="auto"/>
          <w:sz w:val="20"/>
          <w:lang w:val="sr-BA"/>
        </w:rPr>
        <w:t>у 202</w:t>
      </w:r>
      <w:r>
        <w:rPr>
          <w:rFonts w:eastAsia="Calibri" w:cs="Tahoma" w:ascii="Tahoma" w:hAnsi="Tahoma"/>
          <w:color w:val="auto"/>
          <w:sz w:val="20"/>
          <w:lang w:val="en-US"/>
        </w:rPr>
        <w:t>4</w:t>
      </w:r>
      <w:r>
        <w:rPr>
          <w:rFonts w:eastAsia="Calibri" w:cs="Tahoma" w:ascii="Tahoma" w:hAnsi="Tahoma"/>
          <w:color w:val="auto"/>
          <w:sz w:val="20"/>
          <w:lang w:val="sr-BA"/>
        </w:rPr>
        <w:t xml:space="preserve">. години </w:t>
      </w:r>
      <w:r>
        <w:rPr>
          <w:rFonts w:eastAsia="Calibri" w:cs="Tahoma" w:ascii="Tahoma" w:hAnsi="Tahoma"/>
          <w:color w:val="auto"/>
          <w:sz w:val="20"/>
          <w:lang w:val="en-US"/>
        </w:rPr>
        <w:t xml:space="preserve">176.884,00 </w:t>
      </w:r>
      <w:r>
        <w:rPr>
          <w:rFonts w:eastAsia="Calibri" w:cs="Tahoma" w:ascii="Tahoma" w:hAnsi="Tahoma"/>
          <w:color w:val="auto"/>
          <w:sz w:val="20"/>
          <w:lang w:val="sr-BA"/>
        </w:rPr>
        <w:t xml:space="preserve"> динара, што је представљало </w:t>
      </w:r>
      <w:r>
        <w:rPr>
          <w:rFonts w:eastAsia="Calibri" w:cs="Tahoma" w:ascii="Tahoma" w:hAnsi="Tahoma"/>
          <w:color w:val="auto"/>
          <w:sz w:val="20"/>
          <w:lang w:val="en-US"/>
        </w:rPr>
        <w:t xml:space="preserve">0,23 </w:t>
      </w:r>
      <w:r>
        <w:rPr>
          <w:rFonts w:eastAsia="Calibri" w:cs="Tahoma" w:ascii="Tahoma" w:hAnsi="Tahoma"/>
          <w:color w:val="auto"/>
          <w:sz w:val="20"/>
          <w:lang w:val="sr-BA"/>
        </w:rPr>
        <w:t xml:space="preserve">% у односу на укупна издвајања за социјалну заштиту, односно  </w:t>
      </w:r>
      <w:r>
        <w:rPr>
          <w:rFonts w:eastAsia="Calibri" w:cs="Tahoma" w:ascii="Tahoma" w:hAnsi="Tahoma"/>
          <w:color w:val="auto"/>
          <w:sz w:val="20"/>
          <w:lang w:val="en-US"/>
        </w:rPr>
        <w:t xml:space="preserve">0,013 </w:t>
      </w:r>
      <w:r>
        <w:rPr>
          <w:rFonts w:eastAsia="Calibri" w:cs="Tahoma" w:ascii="Tahoma" w:hAnsi="Tahoma"/>
          <w:color w:val="auto"/>
          <w:sz w:val="20"/>
          <w:lang w:val="sr-BA"/>
        </w:rPr>
        <w:t xml:space="preserve">% у укупном буџету Општине. У просеку, средства намењена за ову услугу чине </w:t>
      </w:r>
      <w:r>
        <w:rPr>
          <w:rFonts w:eastAsia="Calibri" w:cs="Tahoma" w:ascii="Tahoma" w:hAnsi="Tahoma"/>
          <w:color w:val="auto"/>
          <w:sz w:val="20"/>
          <w:lang w:val="en-US"/>
        </w:rPr>
        <w:t xml:space="preserve">0,20 </w:t>
      </w:r>
      <w:r>
        <w:rPr>
          <w:rFonts w:eastAsia="Calibri" w:cs="Tahoma" w:ascii="Tahoma" w:hAnsi="Tahoma"/>
          <w:color w:val="auto"/>
          <w:sz w:val="20"/>
          <w:lang w:val="sr-BA"/>
        </w:rPr>
        <w:t>%</w:t>
      </w:r>
      <w:r>
        <w:rPr>
          <w:rFonts w:eastAsia="Calibri" w:cs="Tahoma" w:ascii="Tahoma" w:hAnsi="Tahoma"/>
          <w:sz w:val="20"/>
          <w:lang w:val="sr-BA"/>
        </w:rPr>
        <w:t xml:space="preserve"> укупних средстава издвојених за Програм 11 – Социјална и дечија заштита.</w:t>
      </w:r>
    </w:p>
    <w:p>
      <w:pPr>
        <w:pStyle w:val="Normal"/>
        <w:jc w:val="both"/>
        <w:rPr>
          <w:rFonts w:ascii="Tahoma" w:hAnsi="Tahoma" w:eastAsia="Calibri" w:cs="Tahoma"/>
          <w:sz w:val="20"/>
          <w:lang w:val="sr-BA"/>
        </w:rPr>
      </w:pPr>
      <w:r>
        <w:rPr>
          <w:rFonts w:eastAsia="Calibri" w:cs="Tahoma" w:ascii="Tahoma" w:hAnsi="Tahoma"/>
          <w:sz w:val="20"/>
          <w:lang w:val="sr-BA"/>
        </w:rPr>
        <w:t xml:space="preserve">У оквиру програмске активности „Породични и домски смештај, прихватилишта и друге врсте смештаја, финансиран је и смештај лица у Геронтолошки центар Нови Сад, смештај деце и омладине у Прихватилиште са прихватном станицом "Сигурна кућа" у оквиру Центра за Социјални рад и смештај за жене и децу угрожене породичним насиљем и организује се у Прихватилишту са прихватном станицом "Сигурна женска кућа" у оквиру Центра за социјални рад. </w:t>
      </w:r>
    </w:p>
    <w:p>
      <w:pPr>
        <w:pStyle w:val="Normal"/>
        <w:jc w:val="both"/>
        <w:rPr>
          <w:rFonts w:ascii="Tahoma" w:hAnsi="Tahoma" w:eastAsia="Calibri" w:cs="Tahoma"/>
          <w:sz w:val="20"/>
          <w:lang w:val="sr-BA"/>
        </w:rPr>
      </w:pPr>
      <w:r>
        <w:rPr>
          <w:rFonts w:eastAsia="Calibri" w:cs="Tahoma" w:ascii="Tahoma" w:hAnsi="Tahoma"/>
          <w:b/>
          <w:sz w:val="20"/>
          <w:lang w:val="sr-BA"/>
        </w:rPr>
        <w:t>Мере материјалне подршке</w:t>
      </w:r>
      <w:r>
        <w:rPr>
          <w:rFonts w:eastAsia="Calibri" w:cs="Tahoma" w:ascii="Tahoma" w:hAnsi="Tahoma"/>
          <w:sz w:val="20"/>
          <w:lang w:val="sr-BA"/>
        </w:rPr>
        <w:t xml:space="preserve"> – У структури расхода у буџетском Програму 11 – Социјална и дечија заштита, мере материјалне подршке су представљене у оквиру програмске активности 0001 и по висини издвајања буџетских средстава, ови расходи представљају другу значајну категорију. У 2023. години издвојено је 29 милиона динара што је скоро дупло више средстава него у 2021. години. У 2022. години издвојено је 25,4 милиона динара што представља раст од 60% у односу на претходну годину. У структури Програма 11, учешће мера материјалне подршке се креће од 33,2% до 41% у 2023. години, што просечно чини 38%. Ако се </w:t>
      </w:r>
      <w:r>
        <w:rPr>
          <w:rFonts w:eastAsia="Calibri" w:cs="Tahoma" w:ascii="Tahoma" w:hAnsi="Tahoma"/>
          <w:sz w:val="20"/>
          <w:lang w:val="sr-RS"/>
        </w:rPr>
        <w:t>посматра</w:t>
      </w:r>
      <w:r>
        <w:rPr>
          <w:rFonts w:eastAsia="Calibri" w:cs="Tahoma" w:ascii="Tahoma" w:hAnsi="Tahoma"/>
          <w:sz w:val="20"/>
          <w:lang w:val="sr-BA"/>
        </w:rPr>
        <w:t xml:space="preserve"> учешће ових мера само у оквиру функције за социјалну заштиту у Програму 11, оно је доминантно јер оне чине у просеку чак 73,7% у односу на све остале расходе који припадају функцији социјалне заштите. </w:t>
      </w:r>
    </w:p>
    <w:p>
      <w:pPr>
        <w:pStyle w:val="Normal"/>
        <w:jc w:val="both"/>
        <w:rPr>
          <w:rFonts w:ascii="Tahoma" w:hAnsi="Tahoma" w:eastAsia="Calibri" w:cs="Tahoma"/>
          <w:sz w:val="20"/>
          <w:lang w:val="sr-BA"/>
        </w:rPr>
      </w:pPr>
      <w:r>
        <w:rPr>
          <w:rFonts w:eastAsia="Calibri" w:cs="Tahoma" w:ascii="Tahoma" w:hAnsi="Tahoma"/>
          <w:sz w:val="20"/>
          <w:lang w:val="sr-BA"/>
        </w:rPr>
        <w:t>У мере материјалне подршке спадају средства за финансирање једнократних помоћи и то нарочитo у случајевима задовољавања основних животних потреба а све према процени Центра за социјални рад, једнократне помоћи на унапређењу становања избеглим и интерно рсељеним лицима али у натури, грађевинском материјалу, опреми итд. Општина је закључила Уговор са Комесаријатом за избеглице и миграције за набавку грађевинског материјала, тј. за унапрђење становања, при чему се спроводи јавна набавка у отвореном поступку. Средства за једнократне помоћи становништву, по Одлуци о социјалној заштити, су једнократне помоћи које се односе на кориснике права, трошкови сахрањивања, интервентне помоћи, итд.</w:t>
      </w:r>
    </w:p>
    <w:p>
      <w:pPr>
        <w:pStyle w:val="Normal"/>
        <w:jc w:val="both"/>
        <w:rPr>
          <w:rFonts w:ascii="Tahoma" w:hAnsi="Tahoma" w:eastAsia="Calibri" w:cs="Tahoma"/>
          <w:sz w:val="20"/>
          <w:lang w:val="sr-BA"/>
        </w:rPr>
      </w:pPr>
      <w:r>
        <w:rPr>
          <w:rFonts w:eastAsia="Calibri" w:cs="Tahoma" w:ascii="Tahoma" w:hAnsi="Tahoma"/>
          <w:sz w:val="20"/>
          <w:lang w:val="sr-BA"/>
        </w:rPr>
        <w:t xml:space="preserve">Поред ових мера, у складу са чланом 111. Закона о социјалној заштити, општина Беочин </w:t>
      </w:r>
      <w:r>
        <w:rPr>
          <w:rFonts w:eastAsia="Calibri" w:cs="Tahoma" w:ascii="Tahoma" w:hAnsi="Tahoma"/>
          <w:sz w:val="20"/>
          <w:lang w:val="sr-RS"/>
        </w:rPr>
        <w:t>ћ</w:t>
      </w:r>
      <w:r>
        <w:rPr>
          <w:rFonts w:eastAsia="Calibri" w:cs="Tahoma" w:ascii="Tahoma" w:hAnsi="Tahoma"/>
          <w:sz w:val="20"/>
          <w:lang w:val="sr-BA"/>
        </w:rPr>
        <w:t>е, Одлуком</w:t>
      </w:r>
      <w:r>
        <w:rPr>
          <w:rStyle w:val="FootnoteAnchor"/>
          <w:rFonts w:eastAsia="Calibri" w:cs="Tahoma" w:ascii="Tahoma" w:hAnsi="Tahoma"/>
          <w:sz w:val="20"/>
          <w:lang w:val="sr-BA"/>
        </w:rPr>
        <w:footnoteReference w:id="71"/>
      </w:r>
      <w:r>
        <w:rPr>
          <w:rFonts w:eastAsia="Calibri" w:cs="Tahoma" w:ascii="Tahoma" w:hAnsi="Tahoma"/>
          <w:sz w:val="20"/>
          <w:lang w:val="sr-BA"/>
        </w:rPr>
        <w:t xml:space="preserve">, коју је донела у септембру 2024. године, проширити мере материјалне подршке јер је предвидела право на субвенционисану цену комуналних услуга за поједине категорије становништва а то су: борци, војни инвалиди и цивилни инвалиди рата. Субвенционисана цена у смислу ове Одлуке обухвата комуналне услуге: снабдевање водом за пиће, пречишћавање и одвођење атмосферских отпадних вода, управљање комуналним отпадом и снабдевање топлотном енергијом. Предвиђено је да субвенционисана цена износи у висини од 10% до 30% цене услуга у зависности од категорије корисника. Одлука ће почети да се примењује од 1. јануара 2025. године. </w:t>
      </w:r>
    </w:p>
    <w:p>
      <w:pPr>
        <w:pStyle w:val="Normal"/>
        <w:jc w:val="both"/>
        <w:rPr>
          <w:rFonts w:ascii="Tahoma" w:hAnsi="Tahoma" w:eastAsia="Calibri" w:cs="Tahoma"/>
          <w:sz w:val="20"/>
          <w:lang w:val="sr-BA"/>
        </w:rPr>
      </w:pPr>
      <w:r>
        <w:rPr>
          <w:rFonts w:eastAsia="Calibri" w:cs="Tahoma" w:ascii="Tahoma" w:hAnsi="Tahoma"/>
          <w:b/>
          <w:sz w:val="20"/>
          <w:lang w:val="sr-BA"/>
        </w:rPr>
        <w:t xml:space="preserve">Финансирање „Центра за социјални рад Нови Сад – Одељење Беочин. </w:t>
      </w:r>
      <w:r>
        <w:rPr>
          <w:rFonts w:eastAsia="Calibri" w:cs="Tahoma" w:ascii="Tahoma" w:hAnsi="Tahoma"/>
          <w:sz w:val="20"/>
          <w:lang w:val="sr-BA"/>
        </w:rPr>
        <w:t xml:space="preserve">Средства која Општина трансферише Центру за социјални рад за Одељење Беочин, налазе се у буџету у оквиру Програмске активности 0902-0005 - Обављање делатности установа социјалне заштите и намењена су за финансирање трошкова који се односе на пословање Центра за социјални рад Нови Сад – Одељење Беочин. Општина Беочин није оснивач Центра за социјални рад, већ услуге социјалног рада грађанима из надлежности општине Беочин, пружа Центар за социјални рад Града Новог Сада – Одељење Беочин, на основу Уговора о обезбеђивању средстава за непосредно пружање услуга социјалног рада за грађане, из надлежности општине Беочин. Општина финансира материјалне трошкове који се односе на редовно пословање Центра,  средства за инвестиционо одржавање, као и бруто зараде и остала права из радних односа за 6 радника Одељења Беочин. У 2023. години за ове намене је издвојено 7,3 милиона динара што чини око 10,3% укупног Програма 11 – Социјална и дечија заштита. </w:t>
      </w:r>
    </w:p>
    <w:p>
      <w:pPr>
        <w:pStyle w:val="Normal"/>
        <w:jc w:val="both"/>
        <w:rPr>
          <w:rFonts w:ascii="Tahoma" w:hAnsi="Tahoma" w:eastAsia="Calibri" w:cs="Tahoma"/>
          <w:sz w:val="20"/>
          <w:lang w:val="sr-BA"/>
        </w:rPr>
      </w:pPr>
      <w:r>
        <w:rPr>
          <w:rFonts w:eastAsia="Calibri" w:cs="Tahoma" w:ascii="Tahoma" w:hAnsi="Tahoma"/>
          <w:sz w:val="20"/>
          <w:lang w:val="sr-BA"/>
        </w:rPr>
        <w:t>Остала издвајања у оквиру Програма 11 – Социјална и дечија заштита у буџету општине Беочин, односе се на</w:t>
      </w:r>
      <w:r>
        <w:rPr>
          <w:rFonts w:eastAsia="Calibri" w:cs="Tahoma" w:ascii="Tahoma" w:hAnsi="Tahoma"/>
          <w:b/>
          <w:sz w:val="20"/>
          <w:lang w:val="sr-BA"/>
        </w:rPr>
        <w:t xml:space="preserve"> Програмску активност 0902-0018 – Подршка реализацији програма Црвеног крста</w:t>
      </w:r>
      <w:r>
        <w:rPr>
          <w:rFonts w:eastAsia="Calibri" w:cs="Tahoma" w:ascii="Tahoma" w:hAnsi="Tahoma"/>
          <w:sz w:val="20"/>
          <w:lang w:val="sr-BA"/>
        </w:rPr>
        <w:t>,</w:t>
      </w:r>
      <w:r>
        <w:rPr>
          <w:rFonts w:eastAsia="Calibri" w:cs="Tahoma" w:ascii="Tahoma" w:hAnsi="Tahoma"/>
          <w:b/>
          <w:sz w:val="20"/>
          <w:lang w:val="sr-BA"/>
        </w:rPr>
        <w:t xml:space="preserve"> </w:t>
      </w:r>
      <w:r>
        <w:rPr>
          <w:rFonts w:eastAsia="Calibri" w:cs="Tahoma" w:ascii="Tahoma" w:hAnsi="Tahoma"/>
          <w:sz w:val="20"/>
          <w:lang w:val="sr-BA"/>
        </w:rPr>
        <w:t>у оквиру које су</w:t>
      </w:r>
      <w:r>
        <w:rPr>
          <w:rFonts w:eastAsia="Calibri" w:cs="Tahoma" w:ascii="Tahoma" w:hAnsi="Tahoma"/>
          <w:b/>
          <w:sz w:val="20"/>
          <w:lang w:val="sr-BA"/>
        </w:rPr>
        <w:t xml:space="preserve"> </w:t>
      </w:r>
      <w:r>
        <w:rPr>
          <w:rFonts w:eastAsia="Calibri" w:cs="Tahoma" w:ascii="Tahoma" w:hAnsi="Tahoma"/>
          <w:sz w:val="20"/>
          <w:lang w:val="sr-BA"/>
        </w:rPr>
        <w:t xml:space="preserve">обезбеђена средства за део активности које спроводи Црвени крст у оквиру годишњег плана, у складу са Законом о Црвеном крсту, као и за финансирање 30% зараде секретара Црвеног крста. За ове намене планиран износ је константан у претходне 3 године и износи 800 хиљада динара. Средства су извршена у потпуности у све 3 године и у просеку представљају око 1% свих расхода у Програму 11 – Социјална и дечија заштита. </w:t>
      </w:r>
    </w:p>
    <w:p>
      <w:pPr>
        <w:pStyle w:val="Normal"/>
        <w:jc w:val="both"/>
        <w:rPr>
          <w:rFonts w:ascii="Tahoma" w:hAnsi="Tahoma" w:eastAsia="Calibri" w:cs="Tahoma"/>
          <w:sz w:val="20"/>
          <w:lang w:val="sr-BA"/>
        </w:rPr>
      </w:pPr>
      <w:r>
        <w:rPr>
          <w:rFonts w:eastAsia="Calibri" w:cs="Tahoma" w:ascii="Tahoma" w:hAnsi="Tahoma"/>
          <w:sz w:val="20"/>
          <w:lang w:val="sr-BA"/>
        </w:rPr>
        <w:t>С обзиром на постојање само једне услуге социјалне заштите у општини Беочин (дневни смештај и исхрана ученика са посебним потребама у школ</w:t>
      </w:r>
      <w:r>
        <w:rPr>
          <w:rFonts w:eastAsia="Calibri" w:cs="Tahoma" w:ascii="Tahoma" w:hAnsi="Tahoma"/>
          <w:sz w:val="20"/>
          <w:lang w:val="sr-RS"/>
        </w:rPr>
        <w:t>и</w:t>
      </w:r>
      <w:r>
        <w:rPr>
          <w:rFonts w:eastAsia="Calibri" w:cs="Tahoma" w:ascii="Tahoma" w:hAnsi="Tahoma"/>
          <w:sz w:val="20"/>
          <w:lang w:val="sr-BA"/>
        </w:rPr>
        <w:t xml:space="preserve"> „Милан Петровић“) и низак ниво издвајања из буџета за ову услугу, њено финансирање се сматра одрживим.</w:t>
      </w:r>
    </w:p>
    <w:p>
      <w:pPr>
        <w:pStyle w:val="Normal"/>
        <w:jc w:val="both"/>
        <w:rPr>
          <w:rFonts w:cs="Arial" w:cstheme="minorHAnsi"/>
          <w:sz w:val="20"/>
          <w:lang w:val="sr-RS"/>
        </w:rPr>
      </w:pPr>
      <w:r>
        <w:rPr>
          <w:rFonts w:eastAsia="Calibri" w:cs="Tahoma" w:ascii="Tahoma" w:hAnsi="Tahoma"/>
          <w:sz w:val="20"/>
          <w:lang w:val="sr-BA"/>
        </w:rPr>
        <w:t xml:space="preserve">Увидом у буџетску документацију, може се видети да се приходи из године у годину реално планирају и њихово остварење у 2021. години је било 19,56% изнад планираних, 91% у 2022., док су у 2023. години приходи остварени 3,2% изнад планираних. Доминантан изворни приход на који се Општина ослања је порез на имовину у статици који је у 2023. години повећан за 13% у односу на 2022. годину. Просечна зарада и повећање запослености у Општини допринели су повећању пореза на зараде који, од уступљених прихода, </w:t>
      </w:r>
      <w:r>
        <w:rPr>
          <w:rFonts w:eastAsia="Calibri" w:cs="Tahoma" w:ascii="Tahoma" w:hAnsi="Tahoma"/>
          <w:sz w:val="20"/>
          <w:lang w:val="sr-RS"/>
        </w:rPr>
        <w:t>представља</w:t>
      </w:r>
      <w:r>
        <w:rPr>
          <w:rFonts w:eastAsia="Calibri" w:cs="Tahoma" w:ascii="Tahoma" w:hAnsi="Tahoma"/>
          <w:sz w:val="20"/>
          <w:lang w:val="sr-BA"/>
        </w:rPr>
        <w:t xml:space="preserve"> најиздашнији приход који чини преко 35% укупних прихода и бележи константан тренд раста. Општина се не не ослања на трансферна средства са републичког нивоа која су јако ниска. Сагледавањем ових чињеница, може се рећи да је у општини Беочин могуће увођење нових услуга социјалне заштите при чему то не би представљало превелико оптерећење за буџет. </w:t>
      </w:r>
    </w:p>
    <w:p>
      <w:pPr>
        <w:pStyle w:val="ListParagraph"/>
        <w:numPr>
          <w:ilvl w:val="2"/>
          <w:numId w:val="1"/>
        </w:numPr>
        <w:spacing w:lineRule="auto" w:line="240" w:beforeAutospacing="1" w:afterAutospacing="1"/>
        <w:ind w:start="851" w:hanging="851"/>
        <w:contextualSpacing/>
        <w:outlineLvl w:val="2"/>
        <w:rPr>
          <w:rFonts w:ascii="Tahoma" w:hAnsi="Tahoma" w:eastAsia="DejaVu Sans" w:cs="Tahoma" w:eastAsiaTheme="majorEastAsia"/>
          <w:color w:val="0070C0"/>
          <w:sz w:val="24"/>
          <w:szCs w:val="24"/>
          <w:lang w:val="sr-RS"/>
        </w:rPr>
      </w:pPr>
      <w:bookmarkStart w:id="23" w:name="_Toc188876952"/>
      <w:r>
        <w:rPr>
          <w:rFonts w:eastAsia="DejaVu Sans" w:cs="Tahoma" w:ascii="Tahoma" w:hAnsi="Tahoma" w:eastAsiaTheme="majorEastAsia"/>
          <w:color w:val="0070C0"/>
          <w:sz w:val="24"/>
          <w:szCs w:val="24"/>
          <w:lang w:val="sr-RS"/>
        </w:rPr>
        <w:t>Услуге социјалне заштите у општини Беочин</w:t>
      </w:r>
      <w:bookmarkEnd w:id="23"/>
    </w:p>
    <w:p>
      <w:pPr>
        <w:pStyle w:val="Normal"/>
        <w:spacing w:before="0" w:after="0"/>
        <w:jc w:val="both"/>
        <w:rPr>
          <w:rFonts w:ascii="Tahoma" w:hAnsi="Tahoma" w:cs="Tahoma"/>
          <w:sz w:val="20"/>
          <w:lang w:val="sr-RS"/>
        </w:rPr>
      </w:pPr>
      <w:r>
        <w:rPr>
          <w:rFonts w:cs="Tahoma" w:ascii="Tahoma" w:hAnsi="Tahoma"/>
          <w:color w:val="000000" w:themeColor="text1"/>
          <w:sz w:val="20"/>
          <w:lang w:val="sr-RS"/>
        </w:rPr>
        <w:t xml:space="preserve">Одлуком о социјалној заштити општине Беочин </w:t>
      </w:r>
      <w:r>
        <w:rPr>
          <w:rFonts w:cs="Tahoma" w:ascii="Tahoma" w:hAnsi="Tahoma"/>
          <w:sz w:val="20"/>
          <w:lang w:val="sr-RS"/>
        </w:rPr>
        <w:t>предвиђено је пружање следећих услуга</w:t>
      </w:r>
      <w:r>
        <w:rPr>
          <w:rFonts w:cs="Tahoma" w:ascii="Tahoma" w:hAnsi="Tahoma"/>
          <w:sz w:val="20"/>
          <w:lang w:val="sr-CS"/>
        </w:rPr>
        <w:t>: помоћ у кући и лични пратилац детета</w:t>
      </w:r>
      <w:r>
        <w:rPr>
          <w:rFonts w:cs="Tahoma" w:ascii="Tahoma" w:hAnsi="Tahoma"/>
          <w:sz w:val="20"/>
          <w:lang w:val="sr-Latn-RS"/>
        </w:rPr>
        <w:t xml:space="preserve">. </w:t>
      </w:r>
    </w:p>
    <w:p>
      <w:pPr>
        <w:pStyle w:val="Normal"/>
        <w:jc w:val="both"/>
        <w:rPr>
          <w:rFonts w:ascii="Tahoma" w:hAnsi="Tahoma" w:cs="Tahoma"/>
          <w:sz w:val="20"/>
          <w:lang w:val="sr-Latn-RS"/>
        </w:rPr>
      </w:pPr>
      <w:r>
        <w:rPr>
          <w:rFonts w:cs="Tahoma" w:ascii="Tahoma" w:hAnsi="Tahoma"/>
          <w:sz w:val="20"/>
          <w:lang w:val="sr-RS"/>
        </w:rPr>
        <w:t xml:space="preserve">Из буџета општине до 2024. године финансирана је услуга личног пратиоца за  10 корисника, међутим, током 2024. године након анализе локалног нормативног оквира и праксе локалне самоуправе у обезбеђивању услуга, кроз техничку подршку у оквиру пројекта „Подршка одрживим услугама социјалне заштите у заједници и политикама укључивања на локалном нивоу“, израђена је и </w:t>
      </w:r>
      <w:r>
        <w:rPr>
          <w:rFonts w:cs="Tahoma" w:ascii="Tahoma" w:hAnsi="Tahoma"/>
          <w:sz w:val="20"/>
          <w:szCs w:val="20"/>
          <w:lang w:val="sr-RS"/>
        </w:rPr>
        <w:t xml:space="preserve">усвојена нова Одлука </w:t>
      </w:r>
      <w:r>
        <w:rPr>
          <w:rFonts w:cs="Tahoma" w:ascii="Tahoma" w:hAnsi="Tahoma"/>
          <w:bCs/>
          <w:sz w:val="20"/>
          <w:szCs w:val="20"/>
          <w:lang w:val="sr-RS"/>
        </w:rPr>
        <w:t xml:space="preserve">о обезбеђивању и пружању услуге лични пратилац детета која је усклађена са релевантном законском регулативом и којом је предвиђено да се услуга обезбеђује путем јавне набавке. Такође, </w:t>
      </w:r>
      <w:r>
        <w:rPr>
          <w:rFonts w:cs="Tahoma" w:ascii="Tahoma" w:hAnsi="Tahoma"/>
          <w:sz w:val="20"/>
          <w:szCs w:val="20"/>
          <w:lang w:val="sr-RS"/>
        </w:rPr>
        <w:t xml:space="preserve">Одлука </w:t>
      </w:r>
      <w:r>
        <w:rPr>
          <w:rFonts w:cs="Tahoma" w:ascii="Tahoma" w:hAnsi="Tahoma"/>
          <w:bCs/>
          <w:sz w:val="20"/>
          <w:szCs w:val="20"/>
          <w:lang w:val="sr-RS"/>
        </w:rPr>
        <w:t>о обезбеђивању и пружању услуге помоћ у кући је израђена и усвојена на истој седници Скупштине 30. децембра 2024. године и ова услуга ће се обезбедити путем јавне набавке у 2025. години кроз пројекат „</w:t>
      </w:r>
      <w:r>
        <w:rPr>
          <w:rFonts w:cs="Tahoma" w:ascii="Tahoma" w:hAnsi="Tahoma"/>
          <w:bCs/>
          <w:sz w:val="20"/>
          <w:szCs w:val="20"/>
          <w:lang w:val="sr-CS"/>
        </w:rPr>
        <w:t xml:space="preserve">За спокојну старост – унапређење социјалне заштите у општини Беочин успостављањем услуге помоћ у кући за старе“. Пројекат, чији је носилац Општина Беочин, финансира Европска унија из средстава ИПА 2020 кроз програм „Подршка одрживим услугама социјалне заштите и политикама укључивања на локалном нивоу“ и има за циљ успостављање дневне услуге социјалне заштите намењене старим лицима и особама са инвалидитетом, којом Општина Беочин настоји да унапреди локалне услуге социјалне заштите које пружа својим грађанима. По завршетку пројекта, општина </w:t>
      </w:r>
      <w:r>
        <w:rPr>
          <w:rFonts w:cs="Tahoma" w:ascii="Tahoma" w:hAnsi="Tahoma"/>
          <w:bCs/>
          <w:sz w:val="20"/>
          <w:szCs w:val="20"/>
          <w:lang w:val="sr-RS"/>
        </w:rPr>
        <w:t>Б</w:t>
      </w:r>
      <w:r>
        <w:rPr>
          <w:rFonts w:cs="Tahoma" w:ascii="Tahoma" w:hAnsi="Tahoma"/>
          <w:bCs/>
          <w:sz w:val="20"/>
          <w:szCs w:val="20"/>
          <w:lang w:val="sr-CS"/>
        </w:rPr>
        <w:t xml:space="preserve">еочин ће наставити финансирање услуге из сопствених средстава, као и из учешћа корисника у цени услуге. </w:t>
      </w:r>
      <w:r>
        <w:rPr>
          <w:rFonts w:cs="Tahoma" w:ascii="Tahoma" w:hAnsi="Tahoma"/>
          <w:sz w:val="20"/>
          <w:lang w:val="sr-RS"/>
        </w:rPr>
        <w:t xml:space="preserve">   </w:t>
      </w:r>
    </w:p>
    <w:p>
      <w:pPr>
        <w:pStyle w:val="Normal"/>
        <w:spacing w:lineRule="auto" w:line="240" w:before="0" w:after="0"/>
        <w:jc w:val="both"/>
        <w:rPr>
          <w:rFonts w:ascii="Tahoma" w:hAnsi="Tahoma" w:cs="Tahoma"/>
          <w:color w:val="FF0000"/>
          <w:sz w:val="20"/>
          <w:szCs w:val="20"/>
          <w:lang w:val="sr-Latn-RS"/>
        </w:rPr>
      </w:pPr>
      <w:r>
        <w:rPr>
          <w:rFonts w:cs="Tahoma" w:ascii="Tahoma" w:hAnsi="Tahoma"/>
          <w:color w:val="FF0000"/>
          <w:sz w:val="20"/>
          <w:szCs w:val="20"/>
          <w:lang w:val="sr-Latn-RS"/>
        </w:rPr>
      </w:r>
    </w:p>
    <w:p>
      <w:pPr>
        <w:pStyle w:val="ListParagraph"/>
        <w:numPr>
          <w:ilvl w:val="2"/>
          <w:numId w:val="1"/>
        </w:numPr>
        <w:spacing w:lineRule="auto" w:line="240" w:beforeAutospacing="1" w:afterAutospacing="1"/>
        <w:ind w:start="851" w:hanging="851"/>
        <w:contextualSpacing/>
        <w:outlineLvl w:val="2"/>
        <w:rPr>
          <w:rFonts w:ascii="Tahoma" w:hAnsi="Tahoma" w:eastAsia="DejaVu Sans" w:cs="Tahoma" w:eastAsiaTheme="majorEastAsia"/>
          <w:color w:val="0070C0"/>
          <w:sz w:val="24"/>
          <w:szCs w:val="24"/>
          <w:lang w:val="sr-RS"/>
        </w:rPr>
      </w:pPr>
      <w:bookmarkStart w:id="24" w:name="_Toc188876953"/>
      <w:r>
        <w:rPr>
          <w:rFonts w:eastAsia="DejaVu Sans" w:cs="Tahoma" w:ascii="Tahoma" w:hAnsi="Tahoma" w:eastAsiaTheme="majorEastAsia"/>
          <w:color w:val="0070C0"/>
          <w:sz w:val="24"/>
          <w:szCs w:val="24"/>
          <w:lang w:val="sr-RS"/>
        </w:rPr>
        <w:t>Материјална подршка</w:t>
      </w:r>
      <w:bookmarkEnd w:id="24"/>
    </w:p>
    <w:p>
      <w:pPr>
        <w:pStyle w:val="Footnote"/>
        <w:jc w:val="both"/>
        <w:rPr>
          <w:rFonts w:ascii="Tahoma" w:hAnsi="Tahoma" w:cs="Tahoma"/>
          <w:lang w:val="sr-RS"/>
        </w:rPr>
      </w:pPr>
      <w:r>
        <w:rPr>
          <w:rFonts w:cs="Tahoma" w:ascii="Tahoma" w:hAnsi="Tahoma"/>
          <w:lang w:val="sr-RS"/>
        </w:rPr>
        <w:t xml:space="preserve">Претходна Одлука о социјалној заштити детаљно је разрађивала облике материјалне подршке који се могу остварити у општини Беочин. С обзиром да је у децембру 2024. усвојена нова Одлука о социјалној заштити која је додатно усклађена са Законом о социјалној заштити, у наставку следи преглед броја корисника права на материјалну подршку онако како су била дефинисана претходном Одлуком (Сл. лист општине Беочин“ бр. 6/2017, 3/2023 и 47/2023). </w:t>
      </w:r>
    </w:p>
    <w:p>
      <w:pPr>
        <w:pStyle w:val="Normal"/>
        <w:spacing w:before="0" w:after="0"/>
        <w:jc w:val="both"/>
        <w:rPr>
          <w:rFonts w:ascii="Tahoma" w:hAnsi="Tahoma" w:cs="Tahoma"/>
          <w:sz w:val="20"/>
          <w:lang w:val="sr-RS"/>
        </w:rPr>
      </w:pPr>
      <w:r>
        <w:rPr>
          <w:rFonts w:cs="Tahoma" w:ascii="Tahoma" w:hAnsi="Tahoma"/>
          <w:sz w:val="20"/>
          <w:lang w:val="sr-RS"/>
        </w:rPr>
      </w:r>
    </w:p>
    <w:p>
      <w:pPr>
        <w:pStyle w:val="Normal"/>
        <w:tabs>
          <w:tab w:val="clear" w:pos="720"/>
          <w:tab w:val="left" w:pos="1481" w:leader="none"/>
        </w:tabs>
        <w:rPr>
          <w:rFonts w:ascii="Tahoma" w:hAnsi="Tahoma" w:cs="Tahoma"/>
          <w:i/>
          <w:i/>
          <w:color w:val="1F4E79" w:themeColor="accent5" w:themeShade="80"/>
          <w:sz w:val="24"/>
          <w:lang w:val="sr-RS"/>
        </w:rPr>
      </w:pPr>
      <w:r>
        <w:rPr>
          <w:rFonts w:eastAsia="Times New Roman" w:cs="Tahoma" w:ascii="Tahoma" w:hAnsi="Tahoma"/>
          <w:bCs/>
          <w:i/>
          <w:color w:val="1F4E79" w:themeColor="accent5" w:themeShade="80"/>
          <w:sz w:val="18"/>
          <w:szCs w:val="16"/>
          <w:lang w:val="sr-RS"/>
        </w:rPr>
        <w:t xml:space="preserve">Табела 6: Тренд броја корисника права на материјалну подршку које се финансирају средствима Буџета РС </w:t>
      </w:r>
    </w:p>
    <w:tbl>
      <w:tblPr>
        <w:tblStyle w:val="GridTable2"/>
        <w:tblW w:w="9519" w:type="dxa"/>
        <w:jc w:val="center"/>
        <w:tblInd w:w="0" w:type="dxa"/>
        <w:tblLayout w:type="fixed"/>
        <w:tblCellMar>
          <w:top w:w="0" w:type="dxa"/>
          <w:start w:w="108" w:type="dxa"/>
          <w:bottom w:w="0" w:type="dxa"/>
          <w:end w:w="108" w:type="dxa"/>
        </w:tblCellMar>
        <w:tblLook w:firstRow="1" w:noVBand="1" w:lastRow="0" w:firstColumn="1" w:lastColumn="0" w:noHBand="0" w:val="04a0"/>
      </w:tblPr>
      <w:tblGrid>
        <w:gridCol w:w="2968"/>
        <w:gridCol w:w="681"/>
        <w:gridCol w:w="704"/>
        <w:gridCol w:w="891"/>
        <w:gridCol w:w="668"/>
        <w:gridCol w:w="613"/>
        <w:gridCol w:w="923"/>
        <w:gridCol w:w="12"/>
        <w:gridCol w:w="518"/>
        <w:gridCol w:w="630"/>
        <w:gridCol w:w="910"/>
      </w:tblGrid>
      <w:tr>
        <w:trPr>
          <w:cnfStyle w:val="100000000000" w:firstRow="1" w:lastRow="0" w:firstColumn="0" w:lastColumn="0" w:oddVBand="0" w:evenVBand="0" w:oddHBand="0" w:evenHBand="0" w:firstRowFirstColumn="0" w:firstRowLastColumn="0" w:lastRowFirstColumn="0" w:lastRowLastColumn="0"/>
        </w:trPr>
        <w:tc>
          <w:tcPr>
            <w:tcW w:w="2968" w:type="dxa"/>
            <w:vMerge w:val="restart"/>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Cs w:val="false"/>
                <w:sz w:val="16"/>
                <w:szCs w:val="16"/>
                <w:lang w:val="sr-RS"/>
              </w:rPr>
            </w:pPr>
            <w:r>
              <w:rPr>
                <w:rFonts w:eastAsia="Times New Roman" w:cs="Tahoma" w:ascii="Tahoma" w:hAnsi="Tahoma"/>
                <w:b/>
                <w:bCs w:val="false"/>
                <w:kern w:val="0"/>
                <w:sz w:val="16"/>
                <w:szCs w:val="16"/>
                <w:lang w:val="sr-RS" w:eastAsia="en-US" w:bidi="ar-SA"/>
              </w:rPr>
              <w:t>Број корисника права на:</w:t>
            </w:r>
          </w:p>
        </w:tc>
        <w:tc>
          <w:tcPr>
            <w:tcW w:w="2276" w:type="dxa"/>
            <w:gridSpan w:val="3"/>
            <w:tcBorders>
              <w:top w:val="single" w:sz="4" w:space="0" w:color="000000"/>
              <w:bottom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100000000000" w:firstRow="1"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b/>
                <w:bCs/>
                <w:kern w:val="0"/>
                <w:sz w:val="16"/>
                <w:szCs w:val="16"/>
                <w:lang w:val="sr-RS" w:eastAsia="en-US" w:bidi="ar-SA"/>
              </w:rPr>
              <w:t>2021</w:t>
            </w:r>
          </w:p>
        </w:tc>
        <w:tc>
          <w:tcPr>
            <w:tcW w:w="2216" w:type="dxa"/>
            <w:gridSpan w:val="4"/>
            <w:tcBorders>
              <w:top w:val="single" w:sz="4" w:space="0" w:color="000000"/>
              <w:bottom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100000000000" w:firstRow="1"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b/>
                <w:bCs/>
                <w:kern w:val="0"/>
                <w:sz w:val="16"/>
                <w:szCs w:val="16"/>
                <w:lang w:val="sr-RS" w:eastAsia="en-US" w:bidi="ar-SA"/>
              </w:rPr>
              <w:t>2022</w:t>
            </w:r>
          </w:p>
        </w:tc>
        <w:tc>
          <w:tcPr>
            <w:tcW w:w="2058" w:type="dxa"/>
            <w:gridSpan w:val="3"/>
            <w:tcBorders>
              <w:top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100000000000" w:firstRow="1"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b/>
                <w:bCs/>
                <w:kern w:val="0"/>
                <w:sz w:val="16"/>
                <w:szCs w:val="16"/>
                <w:lang w:val="sr-RS" w:eastAsia="en-US" w:bidi="ar-SA"/>
              </w:rPr>
              <w:t>2023</w:t>
            </w:r>
          </w:p>
        </w:tc>
      </w:tr>
      <w:tr>
        <w:trPr>
          <w:trHeight w:val="193" w:hRule="atLeast"/>
          <w:cnfStyle w:val="000000100000" w:firstRow="0" w:lastRow="0" w:firstColumn="0" w:lastColumn="0" w:oddVBand="0" w:evenVBand="0" w:oddHBand="1" w:evenHBand="0" w:firstRowFirstColumn="0" w:firstRowLastColumn="0" w:lastRowFirstColumn="0" w:lastRowLastColumn="0"/>
        </w:trPr>
        <w:tc>
          <w:tcPr>
            <w:tcW w:w="2968" w:type="dxa"/>
            <w:vMerge w:val="continue"/>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 w:val="false"/>
                <w:b w:val="false"/>
                <w:bCs w:val="false"/>
                <w:sz w:val="16"/>
                <w:szCs w:val="16"/>
                <w:lang w:val="sr-RS"/>
              </w:rPr>
            </w:pPr>
            <w:r>
              <w:rPr>
                <w:rFonts w:eastAsia="Times New Roman" w:cs="Tahoma" w:ascii="Tahoma" w:hAnsi="Tahoma"/>
                <w:b w:val="false"/>
                <w:bCs w:val="false"/>
                <w:sz w:val="16"/>
                <w:szCs w:val="16"/>
                <w:lang w:val="sr-RS"/>
              </w:rPr>
            </w:r>
          </w:p>
        </w:tc>
        <w:tc>
          <w:tcPr>
            <w:tcW w:w="681"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М</w:t>
            </w:r>
          </w:p>
        </w:tc>
        <w:tc>
          <w:tcPr>
            <w:tcW w:w="704"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Ж</w:t>
            </w:r>
          </w:p>
        </w:tc>
        <w:tc>
          <w:tcPr>
            <w:tcW w:w="891"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Укупно</w:t>
            </w:r>
          </w:p>
        </w:tc>
        <w:tc>
          <w:tcPr>
            <w:tcW w:w="668"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М</w:t>
            </w:r>
          </w:p>
        </w:tc>
        <w:tc>
          <w:tcPr>
            <w:tcW w:w="613"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Ж</w:t>
            </w:r>
          </w:p>
        </w:tc>
        <w:tc>
          <w:tcPr>
            <w:tcW w:w="923"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Укупно</w:t>
            </w:r>
          </w:p>
        </w:tc>
        <w:tc>
          <w:tcPr>
            <w:tcW w:w="530" w:type="dxa"/>
            <w:gridSpan w:val="2"/>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М</w:t>
            </w:r>
          </w:p>
        </w:tc>
        <w:tc>
          <w:tcPr>
            <w:tcW w:w="630"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Ж</w:t>
            </w:r>
          </w:p>
        </w:tc>
        <w:tc>
          <w:tcPr>
            <w:tcW w:w="910"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Укупно</w:t>
            </w:r>
          </w:p>
        </w:tc>
      </w:tr>
      <w:tr>
        <w:trPr/>
        <w:tc>
          <w:tcPr>
            <w:tcW w:w="2968"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 w:val="false"/>
                <w:b w:val="false"/>
                <w:bCs w:val="false"/>
                <w:sz w:val="16"/>
                <w:szCs w:val="16"/>
                <w:lang w:val="sr-RS"/>
              </w:rPr>
            </w:pPr>
            <w:r>
              <w:rPr>
                <w:rFonts w:eastAsia="Times New Roman" w:cs="Tahoma" w:ascii="Tahoma" w:hAnsi="Tahoma"/>
                <w:b w:val="false"/>
                <w:bCs w:val="false"/>
                <w:kern w:val="0"/>
                <w:sz w:val="16"/>
                <w:szCs w:val="16"/>
                <w:lang w:val="en-US" w:eastAsia="en-US" w:bidi="ar-SA"/>
              </w:rPr>
              <w:t>Новчану социјалну помоћ</w:t>
            </w:r>
          </w:p>
        </w:tc>
        <w:tc>
          <w:tcPr>
            <w:tcW w:w="68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121</w:t>
            </w:r>
          </w:p>
        </w:tc>
        <w:tc>
          <w:tcPr>
            <w:tcW w:w="70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153</w:t>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274</w:t>
            </w:r>
          </w:p>
        </w:tc>
        <w:tc>
          <w:tcPr>
            <w:tcW w:w="66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96</w:t>
            </w:r>
          </w:p>
        </w:tc>
        <w:tc>
          <w:tcPr>
            <w:tcW w:w="61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117</w:t>
            </w:r>
          </w:p>
        </w:tc>
        <w:tc>
          <w:tcPr>
            <w:tcW w:w="92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213</w:t>
            </w:r>
          </w:p>
        </w:tc>
        <w:tc>
          <w:tcPr>
            <w:tcW w:w="530"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72</w:t>
            </w:r>
          </w:p>
        </w:tc>
        <w:tc>
          <w:tcPr>
            <w:tcW w:w="63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89</w:t>
            </w:r>
          </w:p>
        </w:tc>
        <w:tc>
          <w:tcPr>
            <w:tcW w:w="91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161</w:t>
            </w:r>
          </w:p>
        </w:tc>
      </w:tr>
      <w:tr>
        <w:trPr>
          <w:cnfStyle w:val="000000100000" w:firstRow="0" w:lastRow="0" w:firstColumn="0" w:lastColumn="0" w:oddVBand="0" w:evenVBand="0" w:oddHBand="1" w:evenHBand="0" w:firstRowFirstColumn="0" w:firstRowLastColumn="0" w:lastRowFirstColumn="0" w:lastRowLastColumn="0"/>
        </w:trPr>
        <w:tc>
          <w:tcPr>
            <w:tcW w:w="2968"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 w:val="false"/>
                <w:b w:val="false"/>
                <w:bCs w:val="false"/>
                <w:sz w:val="16"/>
                <w:szCs w:val="16"/>
                <w:lang w:val="sr-RS"/>
              </w:rPr>
            </w:pPr>
            <w:r>
              <w:rPr>
                <w:rFonts w:eastAsia="Times New Roman" w:cs="Tahoma" w:ascii="Tahoma" w:hAnsi="Tahoma"/>
                <w:b w:val="false"/>
                <w:bCs w:val="false"/>
                <w:kern w:val="0"/>
                <w:sz w:val="16"/>
                <w:szCs w:val="16"/>
                <w:lang w:val="en-US" w:eastAsia="en-US" w:bidi="ar-SA"/>
              </w:rPr>
              <w:t>Увећану и временски ограничену  новчану социјалну помоћ</w:t>
            </w:r>
          </w:p>
        </w:tc>
        <w:tc>
          <w:tcPr>
            <w:tcW w:w="68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47</w:t>
            </w:r>
          </w:p>
        </w:tc>
        <w:tc>
          <w:tcPr>
            <w:tcW w:w="70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41</w:t>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88</w:t>
            </w:r>
          </w:p>
        </w:tc>
        <w:tc>
          <w:tcPr>
            <w:tcW w:w="66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40</w:t>
            </w:r>
          </w:p>
        </w:tc>
        <w:tc>
          <w:tcPr>
            <w:tcW w:w="61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25</w:t>
            </w:r>
          </w:p>
        </w:tc>
        <w:tc>
          <w:tcPr>
            <w:tcW w:w="92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65</w:t>
            </w:r>
          </w:p>
        </w:tc>
        <w:tc>
          <w:tcPr>
            <w:tcW w:w="530"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26</w:t>
            </w:r>
          </w:p>
        </w:tc>
        <w:tc>
          <w:tcPr>
            <w:tcW w:w="63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14</w:t>
            </w:r>
          </w:p>
        </w:tc>
        <w:tc>
          <w:tcPr>
            <w:tcW w:w="91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40</w:t>
            </w:r>
          </w:p>
        </w:tc>
      </w:tr>
      <w:tr>
        <w:trPr/>
        <w:tc>
          <w:tcPr>
            <w:tcW w:w="2968"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 w:val="false"/>
                <w:b w:val="false"/>
                <w:bCs w:val="false"/>
                <w:sz w:val="16"/>
                <w:szCs w:val="16"/>
                <w:lang w:val="sr-RS"/>
              </w:rPr>
            </w:pPr>
            <w:r>
              <w:rPr>
                <w:rFonts w:eastAsia="Times New Roman" w:cs="Tahoma" w:ascii="Tahoma" w:hAnsi="Tahoma"/>
                <w:b w:val="false"/>
                <w:bCs w:val="false"/>
                <w:kern w:val="0"/>
                <w:sz w:val="16"/>
                <w:szCs w:val="16"/>
                <w:lang w:val="en-US" w:eastAsia="en-US" w:bidi="ar-SA"/>
              </w:rPr>
              <w:t>Додатак за помоћ и негу другог лица</w:t>
            </w:r>
          </w:p>
        </w:tc>
        <w:tc>
          <w:tcPr>
            <w:tcW w:w="68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42</w:t>
            </w:r>
          </w:p>
        </w:tc>
        <w:tc>
          <w:tcPr>
            <w:tcW w:w="70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62</w:t>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104</w:t>
            </w:r>
          </w:p>
        </w:tc>
        <w:tc>
          <w:tcPr>
            <w:tcW w:w="66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46</w:t>
            </w:r>
          </w:p>
        </w:tc>
        <w:tc>
          <w:tcPr>
            <w:tcW w:w="61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55</w:t>
            </w:r>
          </w:p>
        </w:tc>
        <w:tc>
          <w:tcPr>
            <w:tcW w:w="92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101</w:t>
            </w:r>
          </w:p>
        </w:tc>
        <w:tc>
          <w:tcPr>
            <w:tcW w:w="530"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56</w:t>
            </w:r>
          </w:p>
        </w:tc>
        <w:tc>
          <w:tcPr>
            <w:tcW w:w="63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49</w:t>
            </w:r>
          </w:p>
        </w:tc>
        <w:tc>
          <w:tcPr>
            <w:tcW w:w="91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105</w:t>
            </w:r>
          </w:p>
        </w:tc>
      </w:tr>
      <w:tr>
        <w:trPr>
          <w:cnfStyle w:val="000000100000" w:firstRow="0" w:lastRow="0" w:firstColumn="0" w:lastColumn="0" w:oddVBand="0" w:evenVBand="0" w:oddHBand="1" w:evenHBand="0" w:firstRowFirstColumn="0" w:firstRowLastColumn="0" w:lastRowFirstColumn="0" w:lastRowLastColumn="0"/>
        </w:trPr>
        <w:tc>
          <w:tcPr>
            <w:tcW w:w="2968"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 w:val="false"/>
                <w:b w:val="false"/>
                <w:bCs w:val="false"/>
                <w:sz w:val="16"/>
                <w:szCs w:val="16"/>
                <w:lang w:val="sr-RS"/>
              </w:rPr>
            </w:pPr>
            <w:r>
              <w:rPr>
                <w:rFonts w:eastAsia="Times New Roman" w:cs="Tahoma" w:ascii="Tahoma" w:hAnsi="Tahoma"/>
                <w:b w:val="false"/>
                <w:bCs w:val="false"/>
                <w:kern w:val="0"/>
                <w:sz w:val="16"/>
                <w:szCs w:val="16"/>
                <w:lang w:val="en-US" w:eastAsia="en-US" w:bidi="ar-SA"/>
              </w:rPr>
              <w:t>Увећани додатак за помоћ и негу другог лица</w:t>
            </w:r>
          </w:p>
        </w:tc>
        <w:tc>
          <w:tcPr>
            <w:tcW w:w="68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36</w:t>
            </w:r>
          </w:p>
        </w:tc>
        <w:tc>
          <w:tcPr>
            <w:tcW w:w="70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36</w:t>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72</w:t>
            </w:r>
          </w:p>
        </w:tc>
        <w:tc>
          <w:tcPr>
            <w:tcW w:w="66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35</w:t>
            </w:r>
          </w:p>
        </w:tc>
        <w:tc>
          <w:tcPr>
            <w:tcW w:w="61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34</w:t>
            </w:r>
          </w:p>
        </w:tc>
        <w:tc>
          <w:tcPr>
            <w:tcW w:w="92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69</w:t>
            </w:r>
          </w:p>
        </w:tc>
        <w:tc>
          <w:tcPr>
            <w:tcW w:w="530"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37</w:t>
            </w:r>
          </w:p>
        </w:tc>
        <w:tc>
          <w:tcPr>
            <w:tcW w:w="63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34</w:t>
            </w:r>
          </w:p>
        </w:tc>
        <w:tc>
          <w:tcPr>
            <w:tcW w:w="91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71</w:t>
            </w:r>
          </w:p>
        </w:tc>
      </w:tr>
      <w:tr>
        <w:trPr/>
        <w:tc>
          <w:tcPr>
            <w:tcW w:w="2968"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 w:val="false"/>
                <w:b w:val="false"/>
                <w:bCs w:val="false"/>
                <w:sz w:val="16"/>
                <w:szCs w:val="16"/>
                <w:lang w:val="sr-RS"/>
              </w:rPr>
            </w:pPr>
            <w:r>
              <w:rPr>
                <w:rFonts w:eastAsia="Times New Roman" w:cs="Tahoma" w:ascii="Tahoma" w:hAnsi="Tahoma"/>
                <w:b w:val="false"/>
                <w:bCs w:val="false"/>
                <w:kern w:val="0"/>
                <w:sz w:val="16"/>
                <w:szCs w:val="16"/>
                <w:lang w:val="en-US" w:eastAsia="en-US" w:bidi="ar-SA"/>
              </w:rPr>
              <w:t>Посебну новчану накнаду</w:t>
            </w:r>
          </w:p>
        </w:tc>
        <w:tc>
          <w:tcPr>
            <w:tcW w:w="68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70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c>
          <w:tcPr>
            <w:tcW w:w="66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61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c>
          <w:tcPr>
            <w:tcW w:w="92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c>
          <w:tcPr>
            <w:tcW w:w="530"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63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c>
          <w:tcPr>
            <w:tcW w:w="91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r>
      <w:tr>
        <w:trPr>
          <w:cnfStyle w:val="000000100000" w:firstRow="0" w:lastRow="0" w:firstColumn="0" w:lastColumn="0" w:oddVBand="0" w:evenVBand="0" w:oddHBand="1" w:evenHBand="0" w:firstRowFirstColumn="0" w:firstRowLastColumn="0" w:lastRowFirstColumn="0" w:lastRowLastColumn="0"/>
        </w:trPr>
        <w:tc>
          <w:tcPr>
            <w:tcW w:w="2968"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 w:val="false"/>
                <w:b w:val="false"/>
                <w:bCs w:val="false"/>
                <w:sz w:val="16"/>
                <w:szCs w:val="16"/>
                <w:lang w:val="sr-RS"/>
              </w:rPr>
            </w:pPr>
            <w:r>
              <w:rPr>
                <w:rFonts w:eastAsia="Times New Roman" w:cs="Tahoma" w:ascii="Tahoma" w:hAnsi="Tahoma"/>
                <w:b w:val="false"/>
                <w:bCs w:val="false"/>
                <w:kern w:val="0"/>
                <w:sz w:val="16"/>
                <w:szCs w:val="16"/>
                <w:lang w:val="en-US" w:eastAsia="en-US" w:bidi="ar-SA"/>
              </w:rPr>
              <w:t>Помоћ за оспособљавање за рад</w:t>
            </w:r>
          </w:p>
        </w:tc>
        <w:tc>
          <w:tcPr>
            <w:tcW w:w="68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70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66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61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92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530"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63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91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r>
      <w:tr>
        <w:trPr/>
        <w:tc>
          <w:tcPr>
            <w:tcW w:w="2968"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Cs w:val="false"/>
                <w:sz w:val="16"/>
                <w:szCs w:val="16"/>
                <w:lang w:val="sr-RS"/>
              </w:rPr>
            </w:pPr>
            <w:r>
              <w:rPr>
                <w:rFonts w:eastAsia="Times New Roman" w:cs="Tahoma" w:ascii="Tahoma" w:hAnsi="Tahoma"/>
                <w:b/>
                <w:bCs w:val="false"/>
                <w:kern w:val="0"/>
                <w:sz w:val="16"/>
                <w:szCs w:val="16"/>
                <w:lang w:val="en-US" w:eastAsia="en-US" w:bidi="ar-SA"/>
              </w:rPr>
              <w:t>Укупно</w:t>
            </w:r>
          </w:p>
        </w:tc>
        <w:tc>
          <w:tcPr>
            <w:tcW w:w="68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266</w:t>
            </w:r>
          </w:p>
        </w:tc>
        <w:tc>
          <w:tcPr>
            <w:tcW w:w="70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293</w:t>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559</w:t>
            </w:r>
          </w:p>
        </w:tc>
        <w:tc>
          <w:tcPr>
            <w:tcW w:w="66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217</w:t>
            </w:r>
          </w:p>
        </w:tc>
        <w:tc>
          <w:tcPr>
            <w:tcW w:w="61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232</w:t>
            </w:r>
          </w:p>
        </w:tc>
        <w:tc>
          <w:tcPr>
            <w:tcW w:w="92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449</w:t>
            </w:r>
          </w:p>
        </w:tc>
        <w:tc>
          <w:tcPr>
            <w:tcW w:w="530"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181</w:t>
            </w:r>
          </w:p>
        </w:tc>
        <w:tc>
          <w:tcPr>
            <w:tcW w:w="63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197</w:t>
            </w:r>
          </w:p>
        </w:tc>
        <w:tc>
          <w:tcPr>
            <w:tcW w:w="910"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378</w:t>
            </w:r>
          </w:p>
        </w:tc>
      </w:tr>
    </w:tbl>
    <w:p>
      <w:pPr>
        <w:pStyle w:val="Normal"/>
        <w:jc w:val="end"/>
        <w:rPr>
          <w:rFonts w:ascii="Tahoma" w:hAnsi="Tahoma" w:eastAsia="Times New Roman" w:cs="Tahoma"/>
          <w:i/>
          <w:i/>
          <w:iCs/>
          <w:sz w:val="18"/>
          <w:szCs w:val="16"/>
          <w:lang w:val="sr-RS"/>
        </w:rPr>
      </w:pPr>
      <w:r>
        <w:rPr>
          <w:rFonts w:eastAsia="Times New Roman" w:cs="Tahoma" w:ascii="Tahoma" w:hAnsi="Tahoma"/>
          <w:bCs/>
          <w:i/>
          <w:iCs/>
          <w:sz w:val="18"/>
          <w:szCs w:val="16"/>
          <w:lang w:val="sr-RS"/>
        </w:rPr>
        <w:t>Извор: Годишњи извештај Центра за социјални рад за 2021, 2022, 2023.годину</w:t>
      </w:r>
    </w:p>
    <w:p>
      <w:pPr>
        <w:pStyle w:val="Normal"/>
        <w:spacing w:lineRule="auto" w:line="240" w:beforeAutospacing="1" w:afterAutospacing="1"/>
        <w:jc w:val="both"/>
        <w:rPr>
          <w:rFonts w:ascii="Tahoma" w:hAnsi="Tahoma" w:eastAsia="Times New Roman" w:cs="Tahoma"/>
          <w:kern w:val="0"/>
          <w:sz w:val="20"/>
          <w:szCs w:val="24"/>
          <w:lang w:val="sr-Latn-RS" w:eastAsia="sr-Latn-RS"/>
          <w14:ligatures w14:val="none"/>
        </w:rPr>
      </w:pPr>
      <w:r>
        <w:rPr>
          <w:rFonts w:eastAsia="Times New Roman" w:cs="Tahoma" w:ascii="Tahoma" w:hAnsi="Tahoma"/>
          <w:kern w:val="0"/>
          <w:sz w:val="20"/>
          <w:szCs w:val="24"/>
          <w:lang w:val="sr-Latn-RS" w:eastAsia="sr-Latn-RS"/>
          <w14:ligatures w14:val="none"/>
        </w:rPr>
        <w:t>Током периода од 2021. до 2023. године, број корисника материјалне подршке која се финансира из буџета Републике Србије бележи константан пад. У 2021. години укупан број корисника износио је 559, док је до 2023. године овај број смањен на 378, што представља укупно смањење од 32,3 процента. Овај тренд је видљив у већини категорија подршке.</w:t>
      </w:r>
      <w:r>
        <w:rPr>
          <w:rFonts w:eastAsia="Times New Roman" w:cs="Tahoma" w:ascii="Tahoma" w:hAnsi="Tahoma"/>
          <w:kern w:val="0"/>
          <w:sz w:val="20"/>
          <w:szCs w:val="24"/>
          <w:lang w:val="sr-RS" w:eastAsia="sr-Latn-RS"/>
          <w14:ligatures w14:val="none"/>
        </w:rPr>
        <w:t xml:space="preserve"> </w:t>
      </w:r>
      <w:r>
        <w:rPr>
          <w:rFonts w:eastAsia="Times New Roman" w:cs="Tahoma" w:ascii="Tahoma" w:hAnsi="Tahoma"/>
          <w:kern w:val="0"/>
          <w:sz w:val="20"/>
          <w:szCs w:val="24"/>
          <w:lang w:val="sr-Latn-RS" w:eastAsia="sr-Latn-RS"/>
          <w14:ligatures w14:val="none"/>
        </w:rPr>
        <w:t>Када је у питању новчана социјална помоћ, број корисника је опао са 274 у 2021. години на 161 у 2023. години. Смањење од 41,2 процента указује на значајан пад у овој категорији, а жене су у свим годинама чиниле нешто већи део корисника. Сличан тренд је присутан и код увећане и временски ограничене новчане социјалне помоћи, где је број корисника са 88 у 2021. години опао на 40 у 2023. години, што представља смањење од чак 54,5 процената. Ово може бити последица рестриктивнијих критеријума за добијање ове врсте помоћи.</w:t>
      </w:r>
      <w:r>
        <w:rPr>
          <w:rFonts w:eastAsia="Times New Roman" w:cs="Tahoma" w:ascii="Tahoma" w:hAnsi="Tahoma"/>
          <w:kern w:val="0"/>
          <w:sz w:val="20"/>
          <w:szCs w:val="24"/>
          <w:lang w:val="sr-RS" w:eastAsia="sr-Latn-RS"/>
          <w14:ligatures w14:val="none"/>
        </w:rPr>
        <w:t xml:space="preserve"> </w:t>
      </w:r>
      <w:r>
        <w:rPr>
          <w:rFonts w:eastAsia="Times New Roman" w:cs="Tahoma" w:ascii="Tahoma" w:hAnsi="Tahoma"/>
          <w:kern w:val="0"/>
          <w:sz w:val="20"/>
          <w:szCs w:val="24"/>
          <w:lang w:val="sr-Latn-RS" w:eastAsia="sr-Latn-RS"/>
          <w14:ligatures w14:val="none"/>
        </w:rPr>
        <w:t>С друге стране, број корисника додатка за помоћ и негу другог лица остао је релативно стабилан, са 104 у 2021. години и 105 у 2023. години, што указује на континуирану потребу за овом врстом подршке. Слична ситуација је приметна и код увећаног додатка за помоћ и негу другог лица, где је број корисника у 2021. години био 72, а у 2023. години 71. Ови подаци показују да се потребе у овој категорији нису значајно мењале током анализираног периода.</w:t>
      </w:r>
      <w:r>
        <w:rPr>
          <w:rFonts w:eastAsia="Times New Roman" w:cs="Tahoma" w:ascii="Tahoma" w:hAnsi="Tahoma"/>
          <w:kern w:val="0"/>
          <w:sz w:val="20"/>
          <w:szCs w:val="24"/>
          <w:lang w:val="sr-RS" w:eastAsia="sr-Latn-RS"/>
          <w14:ligatures w14:val="none"/>
        </w:rPr>
        <w:t xml:space="preserve"> П</w:t>
      </w:r>
      <w:r>
        <w:rPr>
          <w:rFonts w:eastAsia="Times New Roman" w:cs="Tahoma" w:ascii="Tahoma" w:hAnsi="Tahoma"/>
          <w:kern w:val="0"/>
          <w:sz w:val="20"/>
          <w:szCs w:val="24"/>
          <w:lang w:val="sr-Latn-RS" w:eastAsia="sr-Latn-RS"/>
          <w14:ligatures w14:val="none"/>
        </w:rPr>
        <w:t>осебна новчана накнада бележи минималан и непромењен број корисника током све три године</w:t>
      </w:r>
      <w:r>
        <w:rPr>
          <w:rFonts w:eastAsia="Times New Roman" w:cs="Tahoma" w:ascii="Tahoma" w:hAnsi="Tahoma"/>
          <w:kern w:val="0"/>
          <w:sz w:val="20"/>
          <w:szCs w:val="24"/>
          <w:lang w:val="sr-RS" w:eastAsia="sr-Latn-RS"/>
          <w14:ligatures w14:val="none"/>
        </w:rPr>
        <w:t xml:space="preserve">-свега један годишње. Ниједан корисник није евидентиран код помоћи за оспособљавање за рад. </w:t>
      </w:r>
    </w:p>
    <w:p>
      <w:pPr>
        <w:pStyle w:val="Normal"/>
        <w:tabs>
          <w:tab w:val="clear" w:pos="720"/>
          <w:tab w:val="left" w:pos="1481" w:leader="none"/>
        </w:tabs>
        <w:rPr>
          <w:rFonts w:ascii="Tahoma" w:hAnsi="Tahoma" w:cs="Tahoma"/>
          <w:lang w:val="sr-RS"/>
        </w:rPr>
      </w:pPr>
      <w:r>
        <w:rPr>
          <w:rFonts w:eastAsia="Times New Roman" w:cs="Tahoma" w:ascii="Tahoma" w:hAnsi="Tahoma"/>
          <w:bCs/>
          <w:i/>
          <w:color w:val="1F4E79" w:themeColor="accent5" w:themeShade="80"/>
          <w:sz w:val="18"/>
          <w:szCs w:val="16"/>
          <w:lang w:val="sr-RS"/>
        </w:rPr>
        <w:t xml:space="preserve">Табела 7: Тренд броја корисника/ца права на мере материјалне подршке и услуга социјалне заштите која се финансирају средствима буџета локалне самоуправе у складу са Одлуком о социјалној заштити </w:t>
      </w:r>
    </w:p>
    <w:tbl>
      <w:tblPr>
        <w:tblStyle w:val="GridTable2"/>
        <w:tblpPr w:vertAnchor="text" w:horzAnchor="page" w:tblpXSpec="center" w:leftFromText="180" w:rightFromText="180" w:tblpY="-159"/>
        <w:tblW w:w="9314" w:type="dxa"/>
        <w:jc w:val="center"/>
        <w:tblInd w:w="0" w:type="dxa"/>
        <w:tblLayout w:type="fixed"/>
        <w:tblCellMar>
          <w:top w:w="0" w:type="dxa"/>
          <w:start w:w="108" w:type="dxa"/>
          <w:bottom w:w="0" w:type="dxa"/>
          <w:end w:w="108" w:type="dxa"/>
        </w:tblCellMar>
        <w:tblLook w:firstRow="1" w:noVBand="1" w:lastRow="0" w:firstColumn="1" w:lastColumn="0" w:noHBand="0" w:val="04a0"/>
      </w:tblPr>
      <w:tblGrid>
        <w:gridCol w:w="2972"/>
        <w:gridCol w:w="678"/>
        <w:gridCol w:w="703"/>
        <w:gridCol w:w="891"/>
        <w:gridCol w:w="667"/>
        <w:gridCol w:w="614"/>
        <w:gridCol w:w="924"/>
        <w:gridCol w:w="7"/>
        <w:gridCol w:w="527"/>
        <w:gridCol w:w="421"/>
        <w:gridCol w:w="909"/>
      </w:tblGrid>
      <w:tr>
        <w:trPr>
          <w:cnfStyle w:val="100000000000" w:firstRow="1" w:lastRow="0" w:firstColumn="0" w:lastColumn="0" w:oddVBand="0" w:evenVBand="0" w:oddHBand="0" w:evenHBand="0" w:firstRowFirstColumn="0" w:firstRowLastColumn="0" w:lastRowFirstColumn="0" w:lastRowLastColumn="0"/>
        </w:trPr>
        <w:tc>
          <w:tcPr>
            <w:tcW w:w="2972" w:type="dxa"/>
            <w:vMerge w:val="restart"/>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tcBorders>
            <w:shd w:color="auto" w:fill="D9E2F3" w:themeFill="accent1" w:themeFillTint="33" w:val="clear"/>
          </w:tcPr>
          <w:p>
            <w:pPr>
              <w:pStyle w:val="Normal"/>
              <w:widowControl w:val="false"/>
              <w:suppressAutoHyphens w:val="true"/>
              <w:spacing w:lineRule="auto" w:line="240" w:before="100" w:after="0"/>
              <w:jc w:val="start"/>
              <w:rPr>
                <w:rFonts w:ascii="Tahoma" w:hAnsi="Tahoma" w:eastAsia="Times New Roman" w:cs="Tahoma"/>
                <w:sz w:val="16"/>
                <w:szCs w:val="16"/>
                <w:lang w:val="sr-RS"/>
              </w:rPr>
            </w:pPr>
            <w:r>
              <w:rPr>
                <w:rFonts w:eastAsia="Times New Roman" w:cs="Tahoma" w:ascii="Tahoma" w:hAnsi="Tahoma"/>
                <w:b/>
                <w:bCs/>
                <w:kern w:val="0"/>
                <w:sz w:val="16"/>
                <w:szCs w:val="16"/>
                <w:lang w:val="sr-RS" w:eastAsia="en-US" w:bidi="ar-SA"/>
              </w:rPr>
              <w:t>Број корисника права на:</w:t>
            </w:r>
          </w:p>
        </w:tc>
        <w:tc>
          <w:tcPr>
            <w:tcW w:w="2272" w:type="dxa"/>
            <w:gridSpan w:val="3"/>
            <w:tcBorders>
              <w:top w:val="single" w:sz="4" w:space="0" w:color="000000"/>
              <w:bottom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100000000000" w:firstRow="1"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b/>
                <w:bCs/>
                <w:kern w:val="0"/>
                <w:sz w:val="16"/>
                <w:szCs w:val="16"/>
                <w:lang w:val="sr-RS" w:eastAsia="en-US" w:bidi="ar-SA"/>
              </w:rPr>
              <w:t>2021</w:t>
            </w:r>
          </w:p>
        </w:tc>
        <w:tc>
          <w:tcPr>
            <w:tcW w:w="2212" w:type="dxa"/>
            <w:gridSpan w:val="4"/>
            <w:tcBorders>
              <w:top w:val="single" w:sz="4" w:space="0" w:color="000000"/>
              <w:bottom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100000000000" w:firstRow="1"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b/>
                <w:bCs/>
                <w:kern w:val="0"/>
                <w:sz w:val="16"/>
                <w:szCs w:val="16"/>
                <w:lang w:val="sr-RS" w:eastAsia="en-US" w:bidi="ar-SA"/>
              </w:rPr>
              <w:t>2022</w:t>
            </w:r>
          </w:p>
        </w:tc>
        <w:tc>
          <w:tcPr>
            <w:tcW w:w="1857" w:type="dxa"/>
            <w:gridSpan w:val="3"/>
            <w:tcBorders>
              <w:top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center"/>
              <w:cnfStyle w:val="100000000000" w:firstRow="1"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b/>
                <w:bCs/>
                <w:kern w:val="0"/>
                <w:sz w:val="16"/>
                <w:szCs w:val="16"/>
                <w:lang w:val="sr-RS" w:eastAsia="en-US" w:bidi="ar-SA"/>
              </w:rPr>
              <w:t>2023</w:t>
            </w:r>
          </w:p>
        </w:tc>
      </w:tr>
      <w:tr>
        <w:trPr>
          <w:cnfStyle w:val="000000100000" w:firstRow="0" w:lastRow="0" w:firstColumn="0" w:lastColumn="0" w:oddVBand="0" w:evenVBand="0" w:oddHBand="1" w:evenHBand="0" w:firstRowFirstColumn="0" w:firstRowLastColumn="0" w:lastRowFirstColumn="0" w:lastRowLastColumn="0"/>
        </w:trPr>
        <w:tc>
          <w:tcPr>
            <w:tcW w:w="2972" w:type="dxa"/>
            <w:vMerge w:val="continue"/>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sz w:val="16"/>
                <w:szCs w:val="16"/>
                <w:lang w:val="sr-RS"/>
              </w:rPr>
            </w:pPr>
            <w:r>
              <w:rPr>
                <w:rFonts w:eastAsia="Times New Roman" w:cs="Tahoma" w:ascii="Tahoma" w:hAnsi="Tahoma"/>
                <w:b/>
                <w:bCs/>
                <w:sz w:val="16"/>
                <w:szCs w:val="16"/>
                <w:lang w:val="sr-RS"/>
              </w:rPr>
            </w:r>
          </w:p>
        </w:tc>
        <w:tc>
          <w:tcPr>
            <w:tcW w:w="678"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М</w:t>
            </w:r>
          </w:p>
        </w:tc>
        <w:tc>
          <w:tcPr>
            <w:tcW w:w="703"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Ж</w:t>
            </w:r>
          </w:p>
        </w:tc>
        <w:tc>
          <w:tcPr>
            <w:tcW w:w="891"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Укупно</w:t>
            </w:r>
          </w:p>
        </w:tc>
        <w:tc>
          <w:tcPr>
            <w:tcW w:w="667"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М</w:t>
            </w:r>
          </w:p>
        </w:tc>
        <w:tc>
          <w:tcPr>
            <w:tcW w:w="614"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Ж</w:t>
            </w:r>
          </w:p>
        </w:tc>
        <w:tc>
          <w:tcPr>
            <w:tcW w:w="924"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Укупно</w:t>
            </w:r>
          </w:p>
        </w:tc>
        <w:tc>
          <w:tcPr>
            <w:tcW w:w="534" w:type="dxa"/>
            <w:gridSpan w:val="2"/>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М</w:t>
            </w:r>
          </w:p>
        </w:tc>
        <w:tc>
          <w:tcPr>
            <w:tcW w:w="421"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Ж</w:t>
            </w:r>
          </w:p>
        </w:tc>
        <w:tc>
          <w:tcPr>
            <w:tcW w:w="909"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b/>
                <w:b/>
                <w:sz w:val="16"/>
                <w:szCs w:val="16"/>
                <w:lang w:val="sr-RS"/>
              </w:rPr>
            </w:pPr>
            <w:r>
              <w:rPr>
                <w:rFonts w:eastAsia="Times New Roman" w:cs="Tahoma" w:ascii="Tahoma" w:hAnsi="Tahoma"/>
                <w:b/>
                <w:kern w:val="0"/>
                <w:sz w:val="16"/>
                <w:szCs w:val="16"/>
                <w:lang w:val="sr-RS" w:eastAsia="en-US" w:bidi="ar-SA"/>
              </w:rPr>
              <w:t>Укупно</w:t>
            </w:r>
          </w:p>
        </w:tc>
      </w:tr>
      <w:tr>
        <w:trPr/>
        <w:tc>
          <w:tcPr>
            <w:tcW w:w="2972"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 w:val="false"/>
                <w:b w:val="false"/>
                <w:bCs w:val="false"/>
                <w:sz w:val="16"/>
                <w:szCs w:val="16"/>
                <w:lang w:val="sr-RS"/>
              </w:rPr>
            </w:pPr>
            <w:r>
              <w:rPr>
                <w:rFonts w:eastAsia="Times New Roman" w:cs="Tahoma" w:ascii="Tahoma" w:hAnsi="Tahoma"/>
                <w:b w:val="false"/>
                <w:bCs w:val="false"/>
                <w:iCs/>
                <w:kern w:val="0"/>
                <w:sz w:val="16"/>
                <w:szCs w:val="16"/>
                <w:lang w:val="en-US" w:eastAsia="en-US" w:bidi="ar-SA"/>
              </w:rPr>
              <w:t>Једнократна помоћ</w:t>
            </w:r>
          </w:p>
        </w:tc>
        <w:tc>
          <w:tcPr>
            <w:tcW w:w="67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29</w:t>
            </w:r>
          </w:p>
        </w:tc>
        <w:tc>
          <w:tcPr>
            <w:tcW w:w="70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39</w:t>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68</w:t>
            </w:r>
          </w:p>
        </w:tc>
        <w:tc>
          <w:tcPr>
            <w:tcW w:w="667"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58</w:t>
            </w:r>
          </w:p>
        </w:tc>
        <w:tc>
          <w:tcPr>
            <w:tcW w:w="61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58</w:t>
            </w:r>
          </w:p>
        </w:tc>
        <w:tc>
          <w:tcPr>
            <w:tcW w:w="92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116</w:t>
            </w:r>
          </w:p>
        </w:tc>
        <w:tc>
          <w:tcPr>
            <w:tcW w:w="534"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57</w:t>
            </w:r>
          </w:p>
        </w:tc>
        <w:tc>
          <w:tcPr>
            <w:tcW w:w="42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66</w:t>
            </w:r>
          </w:p>
        </w:tc>
        <w:tc>
          <w:tcPr>
            <w:tcW w:w="909"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123</w:t>
            </w:r>
          </w:p>
        </w:tc>
      </w:tr>
      <w:tr>
        <w:trPr>
          <w:cnfStyle w:val="000000100000" w:firstRow="0" w:lastRow="0" w:firstColumn="0" w:lastColumn="0" w:oddVBand="0" w:evenVBand="0" w:oddHBand="1" w:evenHBand="0" w:firstRowFirstColumn="0" w:firstRowLastColumn="0" w:lastRowFirstColumn="0" w:lastRowLastColumn="0"/>
        </w:trPr>
        <w:tc>
          <w:tcPr>
            <w:tcW w:w="2972"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 w:val="false"/>
                <w:b w:val="false"/>
                <w:bCs w:val="false"/>
                <w:sz w:val="16"/>
                <w:szCs w:val="16"/>
                <w:lang w:val="sr-RS"/>
              </w:rPr>
            </w:pPr>
            <w:r>
              <w:rPr>
                <w:rFonts w:eastAsia="Times New Roman" w:cs="Tahoma" w:ascii="Tahoma" w:hAnsi="Tahoma"/>
                <w:b w:val="false"/>
                <w:bCs w:val="false"/>
                <w:iCs/>
                <w:kern w:val="0"/>
                <w:sz w:val="16"/>
                <w:szCs w:val="16"/>
                <w:lang w:val="en-US" w:eastAsia="en-US" w:bidi="ar-SA"/>
              </w:rPr>
              <w:t>Право на помоћ за опрему за смештај у установу социјалне заштите или другу породицу</w:t>
            </w:r>
          </w:p>
        </w:tc>
        <w:tc>
          <w:tcPr>
            <w:tcW w:w="67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w:t>
            </w:r>
          </w:p>
        </w:tc>
        <w:tc>
          <w:tcPr>
            <w:tcW w:w="70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w:t>
            </w:r>
          </w:p>
        </w:tc>
        <w:tc>
          <w:tcPr>
            <w:tcW w:w="667"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c>
          <w:tcPr>
            <w:tcW w:w="61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92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c>
          <w:tcPr>
            <w:tcW w:w="534"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w:t>
            </w:r>
          </w:p>
        </w:tc>
        <w:tc>
          <w:tcPr>
            <w:tcW w:w="42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w:t>
            </w:r>
          </w:p>
        </w:tc>
        <w:tc>
          <w:tcPr>
            <w:tcW w:w="909"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w:t>
            </w:r>
          </w:p>
        </w:tc>
      </w:tr>
      <w:tr>
        <w:trPr/>
        <w:tc>
          <w:tcPr>
            <w:tcW w:w="2972"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 w:val="false"/>
                <w:b w:val="false"/>
                <w:bCs w:val="false"/>
                <w:sz w:val="16"/>
                <w:szCs w:val="16"/>
                <w:lang w:val="sr-RS"/>
              </w:rPr>
            </w:pPr>
            <w:r>
              <w:rPr>
                <w:rFonts w:eastAsia="Times New Roman" w:cs="Tahoma" w:ascii="Tahoma" w:hAnsi="Tahoma"/>
                <w:b w:val="false"/>
                <w:bCs w:val="false"/>
                <w:iCs/>
                <w:kern w:val="0"/>
                <w:sz w:val="16"/>
                <w:szCs w:val="16"/>
                <w:lang w:val="en-US" w:eastAsia="en-US" w:bidi="ar-SA"/>
              </w:rPr>
              <w:t>Интервентна једнократна помоћ</w:t>
            </w:r>
          </w:p>
        </w:tc>
        <w:tc>
          <w:tcPr>
            <w:tcW w:w="67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sz w:val="16"/>
                <w:szCs w:val="16"/>
                <w:lang w:val="sr-RS"/>
              </w:rPr>
            </w:r>
          </w:p>
        </w:tc>
        <w:tc>
          <w:tcPr>
            <w:tcW w:w="70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c>
          <w:tcPr>
            <w:tcW w:w="667"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w:t>
            </w:r>
          </w:p>
        </w:tc>
        <w:tc>
          <w:tcPr>
            <w:tcW w:w="61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5</w:t>
            </w:r>
          </w:p>
        </w:tc>
        <w:tc>
          <w:tcPr>
            <w:tcW w:w="92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w:t>
            </w:r>
          </w:p>
        </w:tc>
        <w:tc>
          <w:tcPr>
            <w:tcW w:w="534"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w:t>
            </w:r>
          </w:p>
        </w:tc>
        <w:tc>
          <w:tcPr>
            <w:tcW w:w="42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9</w:t>
            </w:r>
          </w:p>
        </w:tc>
        <w:tc>
          <w:tcPr>
            <w:tcW w:w="909"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12</w:t>
            </w:r>
          </w:p>
        </w:tc>
      </w:tr>
      <w:tr>
        <w:trPr>
          <w:cnfStyle w:val="000000100000" w:firstRow="0" w:lastRow="0" w:firstColumn="0" w:lastColumn="0" w:oddVBand="0" w:evenVBand="0" w:oddHBand="1" w:evenHBand="0" w:firstRowFirstColumn="0" w:firstRowLastColumn="0" w:lastRowFirstColumn="0" w:lastRowLastColumn="0"/>
        </w:trPr>
        <w:tc>
          <w:tcPr>
            <w:tcW w:w="2972"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 w:val="false"/>
                <w:b w:val="false"/>
                <w:bCs w:val="false"/>
                <w:sz w:val="16"/>
                <w:szCs w:val="16"/>
                <w:lang w:val="sr-RS"/>
              </w:rPr>
            </w:pPr>
            <w:r>
              <w:rPr>
                <w:rFonts w:eastAsia="Times New Roman" w:cs="Tahoma" w:ascii="Tahoma" w:hAnsi="Tahoma"/>
                <w:b w:val="false"/>
                <w:bCs w:val="false"/>
                <w:iCs/>
                <w:kern w:val="0"/>
                <w:sz w:val="16"/>
                <w:szCs w:val="16"/>
                <w:lang w:val="en-US" w:eastAsia="en-US" w:bidi="ar-SA"/>
              </w:rPr>
              <w:t>Накнада трошкова сахране</w:t>
            </w:r>
          </w:p>
        </w:tc>
        <w:tc>
          <w:tcPr>
            <w:tcW w:w="67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5</w:t>
            </w:r>
          </w:p>
        </w:tc>
        <w:tc>
          <w:tcPr>
            <w:tcW w:w="70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w:t>
            </w:r>
          </w:p>
        </w:tc>
        <w:tc>
          <w:tcPr>
            <w:tcW w:w="667"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w:t>
            </w:r>
          </w:p>
        </w:tc>
        <w:tc>
          <w:tcPr>
            <w:tcW w:w="61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2</w:t>
            </w:r>
          </w:p>
        </w:tc>
        <w:tc>
          <w:tcPr>
            <w:tcW w:w="92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5</w:t>
            </w:r>
          </w:p>
        </w:tc>
        <w:tc>
          <w:tcPr>
            <w:tcW w:w="534"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5</w:t>
            </w:r>
          </w:p>
        </w:tc>
        <w:tc>
          <w:tcPr>
            <w:tcW w:w="42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w:t>
            </w:r>
          </w:p>
        </w:tc>
        <w:tc>
          <w:tcPr>
            <w:tcW w:w="909"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w:t>
            </w:r>
          </w:p>
        </w:tc>
      </w:tr>
      <w:tr>
        <w:trPr/>
        <w:tc>
          <w:tcPr>
            <w:tcW w:w="2972" w:type="dxa"/>
            <w:cnfStyle w:val="001000000000" w:firstRow="0" w:lastRow="0" w:firstColumn="1" w:lastColumn="0" w:oddVBand="0" w:evenVBand="0" w:oddHBand="0" w:evenHBand="0" w:firstRowFirstColumn="0" w:firstRowLastColumn="0" w:lastRowFirstColumn="0" w:lastRowLastColumn="0"/>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bCs w:val="false"/>
                <w:sz w:val="16"/>
                <w:szCs w:val="16"/>
                <w:lang w:val="sr-RS"/>
              </w:rPr>
            </w:pPr>
            <w:r>
              <w:rPr>
                <w:rFonts w:eastAsia="Times New Roman" w:cs="Tahoma" w:ascii="Tahoma" w:hAnsi="Tahoma"/>
                <w:b/>
                <w:bCs w:val="false"/>
                <w:kern w:val="0"/>
                <w:sz w:val="16"/>
                <w:szCs w:val="16"/>
                <w:lang w:val="en-US" w:eastAsia="en-US" w:bidi="ar-SA"/>
              </w:rPr>
              <w:t>Укупно</w:t>
            </w:r>
          </w:p>
        </w:tc>
        <w:tc>
          <w:tcPr>
            <w:tcW w:w="678"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36</w:t>
            </w:r>
          </w:p>
        </w:tc>
        <w:tc>
          <w:tcPr>
            <w:tcW w:w="703"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41</w:t>
            </w:r>
          </w:p>
        </w:tc>
        <w:tc>
          <w:tcPr>
            <w:tcW w:w="89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77</w:t>
            </w:r>
          </w:p>
        </w:tc>
        <w:tc>
          <w:tcPr>
            <w:tcW w:w="667"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63</w:t>
            </w:r>
          </w:p>
        </w:tc>
        <w:tc>
          <w:tcPr>
            <w:tcW w:w="61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65</w:t>
            </w:r>
          </w:p>
        </w:tc>
        <w:tc>
          <w:tcPr>
            <w:tcW w:w="924"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128</w:t>
            </w:r>
          </w:p>
        </w:tc>
        <w:tc>
          <w:tcPr>
            <w:tcW w:w="534" w:type="dxa"/>
            <w:gridSpan w:val="2"/>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65</w:t>
            </w:r>
          </w:p>
        </w:tc>
        <w:tc>
          <w:tcPr>
            <w:tcW w:w="421"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79</w:t>
            </w:r>
          </w:p>
        </w:tc>
        <w:tc>
          <w:tcPr>
            <w:tcW w:w="909" w:type="dxa"/>
            <w:tcBorders>
              <w:top w:val="single" w:sz="4" w:space="0" w:color="000000"/>
              <w:start w:val="single" w:sz="4" w:space="0" w:color="000000"/>
              <w:bottom w:val="single" w:sz="4" w:space="0" w:color="000000"/>
              <w:end w:val="single" w:sz="4" w:space="0" w:color="000000"/>
            </w:tcBorders>
            <w:shd w:color="auto" w:fill="FFFFFF" w:themeFill="background1" w:val="clea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eastAsia="Times New Roman" w:cs="Tahoma"/>
                <w:sz w:val="16"/>
                <w:szCs w:val="16"/>
                <w:lang w:val="sr-RS"/>
              </w:rPr>
            </w:pPr>
            <w:r>
              <w:rPr>
                <w:rFonts w:eastAsia="Times New Roman" w:cs="Tahoma" w:ascii="Tahoma" w:hAnsi="Tahoma"/>
                <w:kern w:val="0"/>
                <w:sz w:val="16"/>
                <w:szCs w:val="16"/>
                <w:lang w:val="en-US" w:eastAsia="en-US" w:bidi="ar-SA"/>
              </w:rPr>
              <w:t>147</w:t>
            </w:r>
          </w:p>
        </w:tc>
      </w:tr>
    </w:tbl>
    <w:p>
      <w:pPr>
        <w:pStyle w:val="Normal"/>
        <w:jc w:val="end"/>
        <w:rPr>
          <w:rFonts w:ascii="Tahoma" w:hAnsi="Tahoma" w:eastAsia="Times New Roman" w:cs="Tahoma"/>
          <w:i/>
          <w:i/>
          <w:iCs/>
          <w:sz w:val="18"/>
          <w:szCs w:val="16"/>
          <w:lang w:val="sr-RS"/>
        </w:rPr>
      </w:pPr>
      <w:r/>
      <w:r>
        <w:rPr>
          <w:rFonts w:eastAsia="Times New Roman" w:cs="Tahoma" w:ascii="Tahoma" w:hAnsi="Tahoma"/>
          <w:bCs/>
          <w:i/>
          <w:iCs/>
          <w:sz w:val="18"/>
          <w:szCs w:val="16"/>
          <w:lang w:val="sr-RS"/>
        </w:rPr>
        <w:t>Извор: Годишњи извештај Центра за социјални рад за 2021, 2022, 2023.годину</w:t>
      </w:r>
    </w:p>
    <w:p>
      <w:pPr>
        <w:pStyle w:val="Normal"/>
        <w:spacing w:lineRule="auto" w:line="240" w:beforeAutospacing="1" w:afterAutospacing="1"/>
        <w:jc w:val="both"/>
        <w:rPr>
          <w:rFonts w:ascii="Tahoma" w:hAnsi="Tahoma" w:eastAsia="Times New Roman" w:cs="Tahoma"/>
          <w:kern w:val="0"/>
          <w:sz w:val="20"/>
          <w:szCs w:val="24"/>
          <w:lang w:val="sr-Latn-RS" w:eastAsia="sr-Latn-RS"/>
          <w14:ligatures w14:val="none"/>
        </w:rPr>
      </w:pPr>
      <w:r>
        <w:rPr>
          <w:rFonts w:eastAsia="Times New Roman" w:cs="Tahoma" w:ascii="Tahoma" w:hAnsi="Tahoma"/>
          <w:kern w:val="0"/>
          <w:sz w:val="20"/>
          <w:szCs w:val="24"/>
          <w:lang w:val="sr-Latn-RS" w:eastAsia="sr-Latn-RS"/>
          <w14:ligatures w14:val="none"/>
        </w:rPr>
        <w:t>У периоду од 2021. до 2023. године уочава се константан раст броја корисника материјалне подршке и услуга социјалне заштите које се финансирају из буџета локалне самоуправе. Укупни број лица која остварују права из социјалне заштите повећао се са 77 у 2021. години на 128 у 2022. години, док је у 2023. години достигао 147. Овај тренд указује на растуће потребе за овим облицима подршке у локалној заједници.</w:t>
      </w:r>
    </w:p>
    <w:p>
      <w:pPr>
        <w:pStyle w:val="Normal"/>
        <w:spacing w:lineRule="auto" w:line="240" w:beforeAutospacing="1" w:afterAutospacing="1"/>
        <w:jc w:val="both"/>
        <w:rPr>
          <w:rFonts w:ascii="Tahoma" w:hAnsi="Tahoma" w:eastAsia="Times New Roman" w:cs="Tahoma"/>
          <w:kern w:val="0"/>
          <w:sz w:val="20"/>
          <w:szCs w:val="24"/>
          <w:lang w:val="sr-Latn-RS" w:eastAsia="sr-Latn-RS"/>
          <w14:ligatures w14:val="none"/>
        </w:rPr>
      </w:pPr>
      <w:r>
        <w:rPr>
          <w:rFonts w:eastAsia="Times New Roman" w:cs="Tahoma" w:ascii="Tahoma" w:hAnsi="Tahoma"/>
          <w:kern w:val="0"/>
          <w:sz w:val="20"/>
          <w:szCs w:val="24"/>
          <w:lang w:val="sr-Latn-RS" w:eastAsia="sr-Latn-RS"/>
          <w14:ligatures w14:val="none"/>
        </w:rPr>
        <w:t>Право на једнократну помоћ бележи најзначајнији пораст. Док је 2021. године ово право користило 68 лица, у 2022. години тај број је достигао 116, а у 2023. години 123. Код права на помоћ за опрему за смештај у установу социјалне заштите или у другу породицу, број корисника је такође порастао, али у мањем обиму. Док су 2021. године овај вид помоћи користила два лица, 2022. године једно лице, у 2023. години број је достигао шест корисника.</w:t>
      </w:r>
      <w:r>
        <w:rPr>
          <w:rFonts w:eastAsia="Times New Roman" w:cs="Tahoma" w:ascii="Tahoma" w:hAnsi="Tahoma"/>
          <w:kern w:val="0"/>
          <w:sz w:val="20"/>
          <w:szCs w:val="24"/>
          <w:lang w:val="sr-RS" w:eastAsia="sr-Latn-RS"/>
          <w14:ligatures w14:val="none"/>
        </w:rPr>
        <w:t xml:space="preserve"> </w:t>
      </w:r>
      <w:r>
        <w:rPr>
          <w:rFonts w:eastAsia="Times New Roman" w:cs="Tahoma" w:ascii="Tahoma" w:hAnsi="Tahoma"/>
          <w:kern w:val="0"/>
          <w:sz w:val="20"/>
          <w:szCs w:val="24"/>
          <w:lang w:val="sr-Latn-RS" w:eastAsia="sr-Latn-RS"/>
          <w14:ligatures w14:val="none"/>
        </w:rPr>
        <w:t>Интервентна једнократна помоћ је 2021. године коришћена у само два случаја, али се број случајева удвостручио у 2022. години, достигавши пет, док је у 2023. години ова помоћ пружена у 12 случајева. Овај значајан пораст може указивати на све већу потребу за хитним интервенцијама у случајевима кризе.</w:t>
      </w:r>
      <w:r>
        <w:rPr>
          <w:rFonts w:eastAsia="Times New Roman" w:cs="Tahoma" w:ascii="Tahoma" w:hAnsi="Tahoma"/>
          <w:kern w:val="0"/>
          <w:sz w:val="20"/>
          <w:szCs w:val="24"/>
          <w:lang w:val="sr-RS" w:eastAsia="sr-Latn-RS"/>
          <w14:ligatures w14:val="none"/>
        </w:rPr>
        <w:t xml:space="preserve"> </w:t>
      </w:r>
      <w:r>
        <w:rPr>
          <w:rFonts w:eastAsia="Times New Roman" w:cs="Tahoma" w:ascii="Tahoma" w:hAnsi="Tahoma"/>
          <w:kern w:val="0"/>
          <w:sz w:val="20"/>
          <w:szCs w:val="24"/>
          <w:lang w:val="sr-Latn-RS" w:eastAsia="sr-Latn-RS"/>
          <w14:ligatures w14:val="none"/>
        </w:rPr>
        <w:t>Што се тиче накнаде трошкова сахране, број корисника остао је релативно стабилан током овог периода, са шест лица 2021. и 2023. године, док је у 2022. години забележен мањи пад на пет лица.</w:t>
      </w:r>
      <w:r>
        <w:rPr>
          <w:rFonts w:eastAsia="Times New Roman" w:cs="Tahoma" w:ascii="Tahoma" w:hAnsi="Tahoma"/>
          <w:kern w:val="0"/>
          <w:sz w:val="20"/>
          <w:szCs w:val="24"/>
          <w:lang w:val="sr-RS" w:eastAsia="sr-Latn-RS"/>
          <w14:ligatures w14:val="none"/>
        </w:rPr>
        <w:t xml:space="preserve"> Сви ови</w:t>
      </w:r>
      <w:r>
        <w:rPr>
          <w:rFonts w:eastAsia="Times New Roman" w:cs="Tahoma" w:ascii="Tahoma" w:hAnsi="Tahoma"/>
          <w:kern w:val="0"/>
          <w:sz w:val="20"/>
          <w:szCs w:val="24"/>
          <w:lang w:val="sr-Latn-RS" w:eastAsia="sr-Latn-RS"/>
          <w14:ligatures w14:val="none"/>
        </w:rPr>
        <w:t xml:space="preserve"> подаци указују на повећање обима пружених </w:t>
      </w:r>
      <w:r>
        <w:rPr>
          <w:rFonts w:eastAsia="Times New Roman" w:cs="Tahoma" w:ascii="Tahoma" w:hAnsi="Tahoma"/>
          <w:kern w:val="0"/>
          <w:sz w:val="20"/>
          <w:szCs w:val="24"/>
          <w:lang w:val="sr-RS" w:eastAsia="sr-Latn-RS"/>
          <w14:ligatures w14:val="none"/>
        </w:rPr>
        <w:t xml:space="preserve">услуга </w:t>
      </w:r>
      <w:r>
        <w:rPr>
          <w:rFonts w:eastAsia="Times New Roman" w:cs="Tahoma" w:ascii="Tahoma" w:hAnsi="Tahoma"/>
          <w:kern w:val="0"/>
          <w:sz w:val="20"/>
          <w:szCs w:val="24"/>
          <w:lang w:val="sr-Latn-RS" w:eastAsia="sr-Latn-RS"/>
          <w14:ligatures w14:val="none"/>
        </w:rPr>
        <w:t>социјалне заштите, што може рефлектовати како растућу свест о доступним правима, тако и повећање потреба становништва за овим облицима подршке.</w:t>
      </w:r>
    </w:p>
    <w:p>
      <w:pPr>
        <w:pStyle w:val="Normal"/>
        <w:spacing w:lineRule="auto" w:line="240"/>
        <w:jc w:val="both"/>
        <w:rPr>
          <w:rFonts w:ascii="Tahoma" w:hAnsi="Tahoma" w:eastAsia="Times New Roman" w:cs="Tahoma"/>
          <w:sz w:val="20"/>
          <w:szCs w:val="24"/>
          <w:lang w:val="sr-RS" w:eastAsia="sr-Latn-RS"/>
        </w:rPr>
      </w:pPr>
      <w:r>
        <w:rPr>
          <w:rFonts w:eastAsia="Times New Roman" w:cs="Tahoma" w:ascii="Tahoma" w:hAnsi="Tahoma"/>
          <w:sz w:val="20"/>
          <w:szCs w:val="24"/>
          <w:lang w:val="sr-RS" w:eastAsia="sr-Latn-RS"/>
        </w:rPr>
        <w:t xml:space="preserve">О захтевима за остваривање права предвиђених Одлуком решава у првом степену Центар за социјални рад. О жалби на решење ЦСР у другом степену одлучује Општинско веће општине Беочин. </w:t>
      </w:r>
    </w:p>
    <w:p>
      <w:pPr>
        <w:pStyle w:val="Normal"/>
        <w:spacing w:lineRule="auto" w:line="240"/>
        <w:jc w:val="both"/>
        <w:rPr>
          <w:rFonts w:ascii="Tahoma" w:hAnsi="Tahoma" w:eastAsia="Times New Roman" w:cs="Tahoma"/>
          <w:sz w:val="20"/>
          <w:szCs w:val="24"/>
          <w:lang w:val="sr-RS" w:eastAsia="sr-Latn-RS"/>
        </w:rPr>
      </w:pPr>
      <w:r>
        <w:rPr>
          <w:rFonts w:eastAsia="Times New Roman" w:cs="Tahoma" w:ascii="Tahoma" w:hAnsi="Tahoma"/>
          <w:sz w:val="20"/>
          <w:szCs w:val="24"/>
          <w:lang w:val="sr-RS" w:eastAsia="sr-Latn-RS"/>
        </w:rPr>
        <w:t>Поступак за коришћење услуга и остваривање права из социјалне заштите покреће се по захтеву корисника, односно његовог законског заступника или стараоца и по службеној дужности. Поступак се води по одредбама Закона о општем управном поступку, ако другим Законом и Одлуком није другачије одређено.</w:t>
      </w:r>
    </w:p>
    <w:p>
      <w:pPr>
        <w:pStyle w:val="Normal"/>
        <w:spacing w:lineRule="auto" w:line="240"/>
        <w:jc w:val="both"/>
        <w:rPr>
          <w:rFonts w:ascii="Tahoma" w:hAnsi="Tahoma" w:cs="Tahoma"/>
          <w:sz w:val="20"/>
          <w:lang w:val="sr-RS"/>
        </w:rPr>
      </w:pPr>
      <w:r>
        <w:rPr>
          <w:rFonts w:eastAsia="Times New Roman" w:cs="Tahoma" w:ascii="Tahoma" w:hAnsi="Tahoma"/>
          <w:sz w:val="20"/>
          <w:szCs w:val="24"/>
          <w:lang w:val="sr-RS" w:eastAsia="sr-Latn-RS"/>
        </w:rPr>
        <w:t>Анализа мера материјалне подршке у општини Беочин показује неколико важних аспеката адекватности и покривености корисника, потребу за увођењем нових врста подршке, као и области за унапређење. Кад је у питању а</w:t>
      </w:r>
      <w:r>
        <w:rPr>
          <w:rFonts w:eastAsia="Times New Roman" w:cs="Tahoma" w:ascii="Tahoma" w:hAnsi="Tahoma"/>
          <w:bCs/>
          <w:sz w:val="20"/>
          <w:szCs w:val="24"/>
          <w:lang w:val="sr-RS" w:eastAsia="sr-Latn-RS"/>
        </w:rPr>
        <w:t>декватност и покривеност корисника, и</w:t>
      </w:r>
      <w:r>
        <w:rPr>
          <w:rFonts w:eastAsia="Times New Roman" w:cs="Tahoma" w:ascii="Tahoma" w:hAnsi="Tahoma"/>
          <w:sz w:val="20"/>
          <w:szCs w:val="24"/>
          <w:lang w:val="sr-RS" w:eastAsia="sr-Latn-RS"/>
        </w:rPr>
        <w:t xml:space="preserve">ако мере материјалне подршке постоје, видљив је пад броја корисника новчане социјалне помоћи и других облика подршке који се финансирају из републичког буџета. Ово смањење може указивати на рестриктивније критеријуме или на недовољну информисаност потенцијалних корисника о доступним правима. С друге стране, мере финансиране из локалног буџета, попут једнократне помоћи, показују константан раст броја корисника, што рефлектује већу потребу за хитним интервенцијама у кризним </w:t>
      </w:r>
      <w:r>
        <w:rPr>
          <w:rFonts w:cs="Tahoma" w:ascii="Tahoma" w:hAnsi="Tahoma"/>
          <w:sz w:val="20"/>
          <w:lang w:val="sr-RS"/>
        </w:rPr>
        <w:t xml:space="preserve">ситуацијама. Међутим, ова подршка није равномерно доступна у свим категоријама, а значајан број рањивих група, попут старих лица и деце са специфичним потребама, и даље је недовољно покривен. Највећи недостаци су у области услуга које подржавају старе особе, попут „Помоћи у кући“, и специфичних услуга за децу са сметњама у развоју. Ове услуге су идентификоване као приоритети, али њихово увођење зависи од финансијских капацитета и стратешког планирања. Такође, потребно је размотрити додатну подршку за децу са проблемима у понашању, као и за породице у ризику од социјалног искључења. </w:t>
      </w:r>
    </w:p>
    <w:p>
      <w:pPr>
        <w:pStyle w:val="Normal"/>
        <w:spacing w:lineRule="auto" w:line="240"/>
        <w:jc w:val="both"/>
        <w:rPr>
          <w:rFonts w:ascii="Tahoma" w:hAnsi="Tahoma" w:cs="Tahoma"/>
          <w:sz w:val="20"/>
          <w:lang w:val="sr-RS"/>
        </w:rPr>
      </w:pPr>
      <w:r>
        <w:rPr>
          <w:rFonts w:cs="Tahoma" w:ascii="Tahoma" w:hAnsi="Tahoma"/>
          <w:sz w:val="20"/>
          <w:lang w:val="sr-RS"/>
        </w:rPr>
        <w:t>Могућа унапређења: оснажити информативне активности како би се корисници боље упознали са правима и процедурама за остваривање материјалне подршке; преиспитати постојеће критеријуме за добијање материјалне помоћи и осигурати њихову флексибилност како би се прилагодили стварним потребама становништва; увођење услуга за децу са сметњама у развоју и помоћ у кући за старе, уз истовремено усаглашавање са законским стандардима. Локална самоуправа треба да спроведе јавне набавке за услуге социјалне заштите како би осигурала квалитет и континуитет у пружању подршке, као и да обезбеди бољу корелацију између планирања буџета и реалних потреба становништва, укључујући потенцијално коришћење наменских трансфера из државног буџета. Ове мере могу побољшати адекватност и доступност материјалне подршке, доприносећи већој социјалној укључености и смањењу ризика сиромаштва у локалној заједници.</w:t>
      </w:r>
    </w:p>
    <w:p>
      <w:pPr>
        <w:pStyle w:val="Normal"/>
        <w:spacing w:lineRule="auto" w:line="240"/>
        <w:jc w:val="both"/>
        <w:rPr>
          <w:rFonts w:ascii="Tahoma" w:hAnsi="Tahoma" w:cs="Tahoma"/>
          <w:sz w:val="20"/>
          <w:szCs w:val="18"/>
          <w:lang w:val="sr-RS"/>
        </w:rPr>
      </w:pPr>
      <w:r>
        <w:rPr>
          <w:rFonts w:cs="Tahoma" w:ascii="Tahoma" w:hAnsi="Tahoma"/>
          <w:b/>
          <w:sz w:val="20"/>
          <w:lang w:val="sr-RS"/>
        </w:rPr>
        <w:t xml:space="preserve">Ради анализе потреба корисника/потенцијалних корисника права и услуга социјалне заштите у општини Беочин, у првој половини 2024. године је спроведено истраживање односно мапирање,  </w:t>
      </w:r>
      <w:r>
        <w:rPr>
          <w:rFonts w:cs="Tahoma" w:ascii="Tahoma" w:hAnsi="Tahoma"/>
          <w:b/>
          <w:color w:val="000000"/>
          <w:sz w:val="20"/>
          <w:lang w:val="sr-RS"/>
        </w:rPr>
        <w:t>уз техничку подршку СКГО у оквиру пројекта</w:t>
      </w:r>
      <w:r>
        <w:rPr>
          <w:rFonts w:cs="Tahoma" w:ascii="Tahoma" w:hAnsi="Tahoma"/>
          <w:b/>
          <w:color w:val="000000"/>
          <w:sz w:val="20"/>
          <w:lang w:val="sr-Latn-RS"/>
        </w:rPr>
        <w:t xml:space="preserve"> </w:t>
      </w:r>
      <w:hyperlink r:id="rId11">
        <w:r>
          <w:rPr>
            <w:rStyle w:val="InternetLink"/>
            <w:rFonts w:cs="Tahoma" w:ascii="Tahoma" w:hAnsi="Tahoma"/>
            <w:b/>
            <w:sz w:val="20"/>
            <w:lang w:val="sr-RS"/>
          </w:rPr>
          <w:t>„Подршка одрживим услугама социјалне заштите у заједници и политикама укључивања на локалном нивоу“</w:t>
        </w:r>
      </w:hyperlink>
      <w:r>
        <w:rPr>
          <w:rStyle w:val="InternetLink"/>
          <w:rFonts w:cs="Tahoma" w:ascii="Tahoma" w:hAnsi="Tahoma"/>
          <w:b/>
          <w:sz w:val="20"/>
          <w:lang w:val="sr-RS"/>
        </w:rPr>
        <w:t>.</w:t>
      </w:r>
      <w:r>
        <w:rPr>
          <w:rStyle w:val="InternetLink"/>
          <w:rFonts w:cs="Tahoma" w:ascii="Tahoma" w:hAnsi="Tahoma"/>
          <w:sz w:val="20"/>
          <w:lang w:val="sr-RS"/>
        </w:rPr>
        <w:t xml:space="preserve"> </w:t>
      </w:r>
      <w:r>
        <w:rPr>
          <w:rFonts w:eastAsia="Times New Roman" w:cs="Tahoma" w:ascii="Tahoma" w:hAnsi="Tahoma"/>
          <w:sz w:val="20"/>
          <w:szCs w:val="20"/>
          <w:lang w:val="sr-RS"/>
        </w:rPr>
        <w:t xml:space="preserve">Основна сврха мапирања била је да допринесе </w:t>
      </w:r>
      <w:r>
        <w:rPr>
          <w:rFonts w:cs="Tahoma" w:ascii="Tahoma" w:hAnsi="Tahoma"/>
          <w:sz w:val="20"/>
          <w:szCs w:val="20"/>
          <w:lang w:val="sr-RS"/>
        </w:rPr>
        <w:t>планирању и  обезбеђивању права и  услуга у области социјалне заштите на локалном нивоу заснованом на сагледавању реалних потреба и расположивих ресурса на локалном нивоу</w:t>
      </w:r>
      <w:r>
        <w:rPr>
          <w:rFonts w:eastAsia="Times New Roman" w:cs="Tahoma" w:ascii="Tahoma" w:hAnsi="Tahoma"/>
          <w:sz w:val="20"/>
          <w:szCs w:val="20"/>
          <w:lang w:val="sr-RS"/>
        </w:rPr>
        <w:t xml:space="preserve">. </w:t>
      </w:r>
      <w:r>
        <w:rPr>
          <w:rFonts w:cs="Tahoma" w:ascii="Tahoma" w:hAnsi="Tahoma"/>
          <w:sz w:val="20"/>
          <w:szCs w:val="18"/>
          <w:lang w:val="sr-RS"/>
        </w:rPr>
        <w:t xml:space="preserve">У истраживању су коришћене квантитативне и квалитативне методе прикупљања података: </w:t>
      </w:r>
      <w:r>
        <w:rPr>
          <w:rFonts w:cs="Tahoma" w:ascii="Tahoma" w:hAnsi="Tahoma"/>
          <w:bCs/>
          <w:i/>
          <w:iCs/>
          <w:sz w:val="20"/>
          <w:szCs w:val="18"/>
          <w:lang w:val="sr-RS"/>
        </w:rPr>
        <w:t xml:space="preserve">Квантитативне методе: </w:t>
      </w:r>
      <w:r>
        <w:rPr>
          <w:rFonts w:cs="Tahoma" w:ascii="Tahoma" w:hAnsi="Tahoma"/>
          <w:sz w:val="20"/>
          <w:szCs w:val="18"/>
          <w:lang w:val="sr-RS"/>
        </w:rPr>
        <w:t xml:space="preserve">Онлајн анкетирање, којим су прикупљени подаци од грађана путем упитника постављеног на сајту локалне самоуправе; и анкетирање корисника Центра за социјални рад, спроведено методом стратификованог случајног узорка, где су испитаници подељени према стратумима (мушко/женско, село/град, године старости). </w:t>
      </w:r>
      <w:r>
        <w:rPr>
          <w:rFonts w:cs="Tahoma" w:ascii="Tahoma" w:hAnsi="Tahoma"/>
          <w:bCs/>
          <w:i/>
          <w:iCs/>
          <w:sz w:val="20"/>
          <w:szCs w:val="18"/>
          <w:lang w:val="sr-RS"/>
        </w:rPr>
        <w:t xml:space="preserve">Квалитативне методе: </w:t>
      </w:r>
      <w:r>
        <w:rPr>
          <w:rFonts w:cs="Tahoma" w:ascii="Tahoma" w:hAnsi="Tahoma"/>
          <w:sz w:val="20"/>
          <w:szCs w:val="18"/>
          <w:lang w:val="sr-RS"/>
        </w:rPr>
        <w:t xml:space="preserve">Одржавање фокус групних дискусија, које су организоване са старијим особама као потенцијалним корисницима услуге Помоћ у кући али и других услуга социјалне заштите за одрасле и старе, као и са представницима организација цивилног друштва, стручне јавности, запосленима у локалној самоуправи и Центру за социјални рад. </w:t>
      </w:r>
    </w:p>
    <w:p>
      <w:pPr>
        <w:pStyle w:val="Normal"/>
        <w:spacing w:lineRule="auto" w:line="240"/>
        <w:jc w:val="both"/>
        <w:rPr>
          <w:rFonts w:ascii="Tahoma" w:hAnsi="Tahoma" w:eastAsia="Times New Roman" w:cs="Tahoma"/>
          <w:sz w:val="20"/>
          <w:szCs w:val="18"/>
          <w:lang w:val="sr-Latn-RS" w:eastAsia="sr-Latn-RS"/>
        </w:rPr>
      </w:pPr>
      <w:r>
        <w:rPr>
          <w:rFonts w:eastAsia="Times New Roman" w:cs="Tahoma" w:ascii="Tahoma" w:hAnsi="Tahoma"/>
          <w:sz w:val="20"/>
          <w:szCs w:val="18"/>
          <w:lang w:val="sr-Latn-RS" w:eastAsia="sr-Latn-RS"/>
        </w:rPr>
        <w:t xml:space="preserve">Анализом резултата истраживања добијених из упитника за ширу јавност и кориснике Центра за социјални рад у општини Беочин, идентификовани су кључни проблеми и потребе становништва. </w:t>
      </w:r>
      <w:r>
        <w:rPr>
          <w:rFonts w:eastAsia="Times New Roman" w:cs="Tahoma" w:ascii="Tahoma" w:hAnsi="Tahoma"/>
          <w:sz w:val="20"/>
          <w:szCs w:val="18"/>
          <w:lang w:val="sr-RS" w:eastAsia="sr-Latn-RS"/>
        </w:rPr>
        <w:t>Г</w:t>
      </w:r>
      <w:r>
        <w:rPr>
          <w:rFonts w:eastAsia="Times New Roman" w:cs="Tahoma" w:ascii="Tahoma" w:hAnsi="Tahoma"/>
          <w:sz w:val="20"/>
          <w:szCs w:val="18"/>
          <w:lang w:val="sr-Latn-RS" w:eastAsia="sr-Latn-RS"/>
        </w:rPr>
        <w:t>лавни изазови су сиромаштво, незапосленост, недостатак социјалних услуга и здравствене заштите, као и забринутост за животну средину. Корисници Центра за социјални рад истакли су потребу за додатним услугама, као што су помоћ у кући, саветодавне и терапијске услуге, те дневни боравак за децу и младе. Такође, наглашена је потреба за бољом доступношћу здравствених услуга и интегрисаним социјалним услугама.</w:t>
      </w:r>
      <w:r>
        <w:rPr>
          <w:rFonts w:eastAsia="Times New Roman" w:cs="Tahoma" w:ascii="Tahoma" w:hAnsi="Tahoma"/>
          <w:sz w:val="20"/>
          <w:szCs w:val="18"/>
          <w:lang w:val="sr-RS" w:eastAsia="sr-Latn-RS"/>
        </w:rPr>
        <w:t xml:space="preserve"> </w:t>
      </w:r>
      <w:r>
        <w:rPr>
          <w:rFonts w:eastAsia="Times New Roman" w:cs="Tahoma" w:ascii="Tahoma" w:hAnsi="Tahoma"/>
          <w:sz w:val="20"/>
          <w:szCs w:val="18"/>
          <w:lang w:val="sr-Latn-RS" w:eastAsia="sr-Latn-RS"/>
        </w:rPr>
        <w:t>С друге стране, шира јавност истиче потребу за побољшањем запошљивости становништва, боље информисаности о правима и услугама, као и за унапређењем квалитета живота кроз здравију животну средину и доступније социјалне услуге. Посебно се истиче потреба за додатном подршком за најрањивије категорије становништва, као што су деца из сиромашних породица, стари људи и особе са инвалидитетом.</w:t>
      </w:r>
    </w:p>
    <w:p>
      <w:pPr>
        <w:pStyle w:val="Normal"/>
        <w:spacing w:lineRule="auto" w:line="240"/>
        <w:jc w:val="both"/>
        <w:rPr>
          <w:rFonts w:ascii="Tahoma" w:hAnsi="Tahoma" w:eastAsia="Times New Roman" w:cs="Tahoma"/>
          <w:sz w:val="20"/>
          <w:szCs w:val="24"/>
          <w:lang w:val="sr-RS" w:eastAsia="sr-Latn-RS"/>
        </w:rPr>
      </w:pPr>
      <w:r>
        <w:rPr>
          <w:rFonts w:eastAsia="Times New Roman" w:cs="Tahoma" w:ascii="Tahoma" w:hAnsi="Tahoma"/>
          <w:sz w:val="20"/>
          <w:szCs w:val="18"/>
          <w:lang w:val="sr-RS" w:eastAsia="sr-Latn-RS"/>
        </w:rPr>
        <w:t xml:space="preserve">У наставку следе конкретни закључци: </w:t>
      </w:r>
      <w:r>
        <w:rPr>
          <w:rFonts w:eastAsia="Times New Roman" w:cs="Tahoma" w:ascii="Tahoma" w:hAnsi="Tahoma"/>
          <w:sz w:val="20"/>
          <w:szCs w:val="24"/>
          <w:lang w:val="sr-Latn-RS" w:eastAsia="sr-Latn-RS"/>
        </w:rPr>
        <w:t>Најрањивије групе у општини Беочин су деца и млади са хроничним болестима, тешко болесне особе, особе са инвалидитетом, деца из сиромашних породица, старије особе које живе у самачким домаћинствима, самохрани родитељи, жене жртве насиља и незапослени млади. Испитаници су посебно истакли потребу за подршком деци и младима са хроничним болестима тешко болесним особама и особама са инвалидитетом.</w:t>
      </w:r>
      <w:r>
        <w:rPr>
          <w:rFonts w:eastAsia="Times New Roman" w:cs="Tahoma" w:ascii="Tahoma" w:hAnsi="Tahoma"/>
          <w:b/>
          <w:sz w:val="20"/>
          <w:szCs w:val="18"/>
          <w:lang w:val="sr-RS" w:eastAsia="sr-Latn-RS"/>
        </w:rPr>
        <w:t xml:space="preserve"> </w:t>
      </w:r>
      <w:r>
        <w:rPr>
          <w:rFonts w:eastAsia="Times New Roman" w:cs="Tahoma" w:ascii="Tahoma" w:hAnsi="Tahoma"/>
          <w:sz w:val="20"/>
          <w:szCs w:val="24"/>
          <w:lang w:val="sr-Latn-RS" w:eastAsia="sr-Latn-RS"/>
        </w:rPr>
        <w:t xml:space="preserve">Постоји недостатак услуга социјалне заштите у општини Беочин, укључујући и услуге које су неопходне за децу са инвалидитетом, тешко болесне особе и старије особе. </w:t>
      </w:r>
      <w:r>
        <w:rPr>
          <w:rFonts w:eastAsia="Times New Roman" w:cs="Tahoma" w:ascii="Tahoma" w:hAnsi="Tahoma"/>
          <w:sz w:val="20"/>
          <w:szCs w:val="24"/>
          <w:lang w:val="sr-RS" w:eastAsia="sr-Latn-RS"/>
        </w:rPr>
        <w:t>Н</w:t>
      </w:r>
      <w:r>
        <w:rPr>
          <w:rFonts w:eastAsia="Times New Roman" w:cs="Tahoma" w:ascii="Tahoma" w:hAnsi="Tahoma"/>
          <w:sz w:val="20"/>
          <w:szCs w:val="24"/>
          <w:lang w:val="sr-Latn-RS" w:eastAsia="sr-Latn-RS"/>
        </w:rPr>
        <w:t>едостатак услуга социјалне заштите</w:t>
      </w:r>
      <w:r>
        <w:rPr>
          <w:rFonts w:eastAsia="Times New Roman" w:cs="Tahoma" w:ascii="Tahoma" w:hAnsi="Tahoma"/>
          <w:sz w:val="20"/>
          <w:szCs w:val="24"/>
          <w:lang w:val="sr-RS" w:eastAsia="sr-Latn-RS"/>
        </w:rPr>
        <w:t>, н</w:t>
      </w:r>
      <w:r>
        <w:rPr>
          <w:rFonts w:eastAsia="Times New Roman" w:cs="Tahoma" w:ascii="Tahoma" w:hAnsi="Tahoma"/>
          <w:sz w:val="20"/>
          <w:szCs w:val="24"/>
          <w:lang w:val="sr-Latn-RS" w:eastAsia="sr-Latn-RS"/>
        </w:rPr>
        <w:t>едо</w:t>
      </w:r>
      <w:r>
        <w:rPr>
          <w:rFonts w:eastAsia="Times New Roman" w:cs="Tahoma" w:ascii="Tahoma" w:hAnsi="Tahoma"/>
          <w:sz w:val="20"/>
          <w:szCs w:val="24"/>
          <w:lang w:val="sr-RS" w:eastAsia="sr-Latn-RS"/>
        </w:rPr>
        <w:t>вољна до</w:t>
      </w:r>
      <w:r>
        <w:rPr>
          <w:rFonts w:eastAsia="Times New Roman" w:cs="Tahoma" w:ascii="Tahoma" w:hAnsi="Tahoma"/>
          <w:sz w:val="20"/>
          <w:szCs w:val="24"/>
          <w:lang w:val="sr-Latn-RS" w:eastAsia="sr-Latn-RS"/>
        </w:rPr>
        <w:t>ступност здравствене заштите и недовољан број места у вртићима су неке од главних празнина које су идентификоване.</w:t>
      </w:r>
      <w:r>
        <w:rPr>
          <w:rFonts w:eastAsia="Times New Roman" w:cs="Tahoma" w:ascii="Tahoma" w:hAnsi="Tahoma"/>
          <w:b/>
          <w:sz w:val="20"/>
          <w:szCs w:val="18"/>
          <w:lang w:val="sr-RS" w:eastAsia="sr-Latn-RS"/>
        </w:rPr>
        <w:t xml:space="preserve"> </w:t>
      </w:r>
      <w:r>
        <w:rPr>
          <w:rFonts w:eastAsia="Times New Roman" w:cs="Tahoma" w:ascii="Tahoma" w:hAnsi="Tahoma"/>
          <w:sz w:val="20"/>
          <w:szCs w:val="24"/>
          <w:lang w:val="sr-Latn-RS" w:eastAsia="sr-Latn-RS"/>
        </w:rPr>
        <w:t xml:space="preserve">Развој нових услуга је неопходан за подршку најрањивијим групама, као што су услуге </w:t>
      </w:r>
      <w:r>
        <w:rPr>
          <w:rFonts w:eastAsia="Times New Roman" w:cs="Tahoma" w:ascii="Tahoma" w:hAnsi="Tahoma"/>
          <w:sz w:val="20"/>
          <w:szCs w:val="24"/>
          <w:lang w:val="sr-RS" w:eastAsia="sr-Latn-RS"/>
        </w:rPr>
        <w:t>помоћи</w:t>
      </w:r>
      <w:r>
        <w:rPr>
          <w:rFonts w:eastAsia="Times New Roman" w:cs="Tahoma" w:ascii="Tahoma" w:hAnsi="Tahoma"/>
          <w:sz w:val="20"/>
          <w:szCs w:val="24"/>
          <w:lang w:val="sr-Latn-RS" w:eastAsia="sr-Latn-RS"/>
        </w:rPr>
        <w:t xml:space="preserve"> у кући за старије особе и тешко болесне, као и специјализоване услуге за децу са инвалидитетом. </w:t>
      </w:r>
      <w:r>
        <w:rPr>
          <w:rFonts w:eastAsia="Times New Roman" w:cs="Tahoma" w:ascii="Tahoma" w:hAnsi="Tahoma"/>
          <w:sz w:val="20"/>
          <w:szCs w:val="24"/>
          <w:lang w:val="sr-RS" w:eastAsia="sr-Latn-RS"/>
        </w:rPr>
        <w:t xml:space="preserve">Такође, </w:t>
      </w:r>
      <w:r>
        <w:rPr>
          <w:rFonts w:eastAsia="Times New Roman" w:cs="Tahoma" w:ascii="Tahoma" w:hAnsi="Tahoma"/>
          <w:sz w:val="20"/>
          <w:szCs w:val="24"/>
          <w:lang w:val="sr-Latn-RS" w:eastAsia="sr-Latn-RS"/>
        </w:rPr>
        <w:t>за побољшање квалитета живота у општини</w:t>
      </w:r>
      <w:r>
        <w:rPr>
          <w:rFonts w:eastAsia="Times New Roman" w:cs="Tahoma" w:ascii="Tahoma" w:hAnsi="Tahoma"/>
          <w:sz w:val="20"/>
          <w:szCs w:val="24"/>
          <w:lang w:val="sr-RS" w:eastAsia="sr-Latn-RS"/>
        </w:rPr>
        <w:t xml:space="preserve"> битно је у</w:t>
      </w:r>
      <w:r>
        <w:rPr>
          <w:rFonts w:eastAsia="Times New Roman" w:cs="Tahoma" w:ascii="Tahoma" w:hAnsi="Tahoma"/>
          <w:sz w:val="20"/>
          <w:szCs w:val="24"/>
          <w:lang w:val="sr-Latn-RS" w:eastAsia="sr-Latn-RS"/>
        </w:rPr>
        <w:t>напређење постојећих здравствених услуга и побољшање њихове доступности</w:t>
      </w:r>
      <w:r>
        <w:rPr>
          <w:rFonts w:eastAsia="Times New Roman" w:cs="Tahoma" w:ascii="Tahoma" w:hAnsi="Tahoma"/>
          <w:sz w:val="20"/>
          <w:szCs w:val="24"/>
          <w:lang w:val="sr-RS" w:eastAsia="sr-Latn-RS"/>
        </w:rPr>
        <w:t xml:space="preserve">. </w:t>
      </w:r>
      <w:r>
        <w:rPr>
          <w:rFonts w:eastAsia="Times New Roman" w:cs="Tahoma" w:ascii="Tahoma" w:hAnsi="Tahoma"/>
          <w:sz w:val="20"/>
          <w:szCs w:val="24"/>
          <w:lang w:val="sr-Latn-RS" w:eastAsia="sr-Latn-RS"/>
        </w:rPr>
        <w:t>Постојећи системи су у великој мери зависни од Центра за социјални рад Града Новог Сада</w:t>
      </w:r>
      <w:r>
        <w:rPr>
          <w:rFonts w:eastAsia="Times New Roman" w:cs="Tahoma" w:ascii="Tahoma" w:hAnsi="Tahoma"/>
          <w:sz w:val="20"/>
          <w:szCs w:val="24"/>
          <w:lang w:val="sr-RS" w:eastAsia="sr-Latn-RS"/>
        </w:rPr>
        <w:t xml:space="preserve"> и мреже установа на територији Града Новог Сада</w:t>
      </w:r>
      <w:r>
        <w:rPr>
          <w:rFonts w:eastAsia="Times New Roman" w:cs="Tahoma" w:ascii="Tahoma" w:hAnsi="Tahoma"/>
          <w:sz w:val="20"/>
          <w:szCs w:val="24"/>
          <w:lang w:val="sr-Latn-RS" w:eastAsia="sr-Latn-RS"/>
        </w:rPr>
        <w:t xml:space="preserve">, што ограничава њихову ефикасност и способност брзог одговора на потребе становништва. </w:t>
      </w:r>
      <w:r>
        <w:rPr>
          <w:rFonts w:eastAsia="Times New Roman" w:cs="Tahoma" w:ascii="Tahoma" w:hAnsi="Tahoma"/>
          <w:sz w:val="20"/>
          <w:szCs w:val="24"/>
          <w:lang w:val="sr-RS" w:eastAsia="sr-Latn-RS"/>
        </w:rPr>
        <w:t>Актери у заједници наводе да постоји недостатак координиране сарадње и размене информација између различитих система у општини. На територији општине не пoстоје пружаоци услуга социјалне заштите, а једина организација социјалне заштите јесте одељење Центра за социјални рад Града Новог Сада, који се</w:t>
      </w:r>
      <w:r>
        <w:rPr>
          <w:rFonts w:eastAsia="Times New Roman" w:cs="Tahoma" w:ascii="Tahoma" w:hAnsi="Tahoma"/>
          <w:sz w:val="20"/>
          <w:szCs w:val="24"/>
          <w:lang w:val="sr-Latn-RS" w:eastAsia="sr-Latn-RS"/>
        </w:rPr>
        <w:t xml:space="preserve"> суочава са недостатком кадрова и финансијских ресурса. Са само шест запослених у Одељењу ЦСР, капацитети су ограничени, што посебно погађа сложене и захтевне случајеве. Просторн</w:t>
      </w:r>
      <w:r>
        <w:rPr>
          <w:rFonts w:eastAsia="Times New Roman" w:cs="Tahoma" w:ascii="Tahoma" w:hAnsi="Tahoma"/>
          <w:sz w:val="20"/>
          <w:szCs w:val="24"/>
          <w:lang w:val="sr-RS" w:eastAsia="sr-Latn-RS"/>
        </w:rPr>
        <w:t>и капацитети су недовољни и у лошем стању, као и опрема коју запослени користе те их</w:t>
      </w:r>
      <w:r>
        <w:rPr>
          <w:rFonts w:eastAsia="Times New Roman" w:cs="Tahoma" w:ascii="Tahoma" w:hAnsi="Tahoma"/>
          <w:sz w:val="20"/>
          <w:szCs w:val="24"/>
          <w:lang w:val="sr-Latn-RS" w:eastAsia="sr-Latn-RS"/>
        </w:rPr>
        <w:t xml:space="preserve"> треба обновити и опремити како би се побољшао квалитет услуга.</w:t>
      </w:r>
      <w:r>
        <w:rPr>
          <w:rFonts w:eastAsia="Times New Roman" w:cs="Tahoma" w:ascii="Tahoma" w:hAnsi="Tahoma"/>
          <w:sz w:val="20"/>
          <w:szCs w:val="24"/>
          <w:lang w:val="sr-RS" w:eastAsia="sr-Latn-RS"/>
        </w:rPr>
        <w:t xml:space="preserve"> </w:t>
      </w:r>
      <w:r>
        <w:rPr>
          <w:rFonts w:eastAsia="Times New Roman" w:cs="Tahoma" w:ascii="Tahoma" w:hAnsi="Tahoma"/>
          <w:sz w:val="20"/>
          <w:szCs w:val="24"/>
          <w:lang w:val="sr-Latn-RS" w:eastAsia="sr-Latn-RS"/>
        </w:rPr>
        <w:t>Постојећ</w:t>
      </w:r>
      <w:r>
        <w:rPr>
          <w:rFonts w:eastAsia="Times New Roman" w:cs="Tahoma" w:ascii="Tahoma" w:hAnsi="Tahoma"/>
          <w:sz w:val="20"/>
          <w:szCs w:val="24"/>
          <w:lang w:val="sr-RS" w:eastAsia="sr-Latn-RS"/>
        </w:rPr>
        <w:t xml:space="preserve">а права и услуге </w:t>
      </w:r>
      <w:r>
        <w:rPr>
          <w:rFonts w:eastAsia="Times New Roman" w:cs="Tahoma" w:ascii="Tahoma" w:hAnsi="Tahoma"/>
          <w:sz w:val="20"/>
          <w:szCs w:val="24"/>
          <w:lang w:val="sr-Latn-RS" w:eastAsia="sr-Latn-RS"/>
        </w:rPr>
        <w:t xml:space="preserve">се финансирају </w:t>
      </w:r>
      <w:r>
        <w:rPr>
          <w:rFonts w:eastAsia="Times New Roman" w:cs="Tahoma" w:ascii="Tahoma" w:hAnsi="Tahoma"/>
          <w:sz w:val="20"/>
          <w:szCs w:val="24"/>
          <w:lang w:val="sr-RS" w:eastAsia="sr-Latn-RS"/>
        </w:rPr>
        <w:t>из</w:t>
      </w:r>
      <w:r>
        <w:rPr>
          <w:rFonts w:eastAsia="Times New Roman" w:cs="Tahoma" w:ascii="Tahoma" w:hAnsi="Tahoma"/>
          <w:sz w:val="20"/>
          <w:szCs w:val="24"/>
          <w:lang w:val="sr-Latn-RS" w:eastAsia="sr-Latn-RS"/>
        </w:rPr>
        <w:t xml:space="preserve"> средстава локалне самоуправе</w:t>
      </w:r>
      <w:r>
        <w:rPr>
          <w:rFonts w:eastAsia="Times New Roman" w:cs="Tahoma" w:ascii="Tahoma" w:hAnsi="Tahoma"/>
          <w:sz w:val="20"/>
          <w:szCs w:val="24"/>
          <w:lang w:val="sr-RS" w:eastAsia="sr-Latn-RS"/>
        </w:rPr>
        <w:t xml:space="preserve">, с тим да не постоји успостављена ниједна локална услуга социјалне заштите у складу са Законом о социјалној заштити.  </w:t>
      </w:r>
      <w:r>
        <w:rPr>
          <w:rFonts w:cs="Tahoma" w:ascii="Tahoma" w:hAnsi="Tahoma"/>
          <w:iCs/>
          <w:sz w:val="20"/>
          <w:lang w:val="sr-RS"/>
        </w:rPr>
        <w:t xml:space="preserve">Општина нема могућност коришћења наменских трансфера у социјалној заштити због застареле Уредбе о </w:t>
      </w:r>
      <w:r>
        <w:rPr>
          <w:rFonts w:cs="Tahoma" w:ascii="Tahoma" w:hAnsi="Tahoma"/>
          <w:sz w:val="20"/>
          <w:szCs w:val="20"/>
          <w:lang w:val="sr-RS"/>
        </w:rPr>
        <w:t xml:space="preserve">утврђивању јединствене листе развијености региона и јединица локалне самоуправе за 2014. годину што значајно негативно утиче на капацитете локалне самоурпаве за обезбеђивање услуга социјалне заштите. </w:t>
      </w:r>
      <w:r>
        <w:rPr>
          <w:rFonts w:eastAsia="Times New Roman" w:cs="Tahoma" w:ascii="Tahoma" w:hAnsi="Tahoma"/>
          <w:sz w:val="20"/>
          <w:szCs w:val="24"/>
          <w:lang w:val="sr-Latn-RS" w:eastAsia="sr-Latn-RS"/>
        </w:rPr>
        <w:t>Успостављање нових услуга развоју захтева значајна финансијска улагања. Успостављање нових услуга захтева детаљну финансијску анализу. Потребно је дефинисати трошкове, изворе финансирања и учешће корисника у финансирању ових услуга.</w:t>
      </w:r>
      <w:r>
        <w:rPr>
          <w:rFonts w:eastAsia="Times New Roman" w:cs="Tahoma" w:ascii="Tahoma" w:hAnsi="Tahoma"/>
          <w:sz w:val="20"/>
          <w:szCs w:val="24"/>
          <w:lang w:val="sr-RS" w:eastAsia="sr-Latn-RS"/>
        </w:rPr>
        <w:t xml:space="preserve"> </w:t>
      </w:r>
      <w:r>
        <w:rPr>
          <w:rFonts w:eastAsia="Times New Roman" w:cs="Tahoma" w:ascii="Tahoma" w:hAnsi="Tahoma"/>
          <w:sz w:val="20"/>
          <w:szCs w:val="24"/>
          <w:lang w:val="sr-Latn-RS" w:eastAsia="sr-Latn-RS"/>
        </w:rPr>
        <w:t xml:space="preserve">Међуопштинска сарадња представља значајан потенцијал за развој нових услуга. </w:t>
      </w:r>
      <w:r>
        <w:rPr>
          <w:rFonts w:eastAsia="Times New Roman" w:cs="Tahoma" w:ascii="Tahoma" w:hAnsi="Tahoma"/>
          <w:sz w:val="20"/>
          <w:szCs w:val="24"/>
          <w:lang w:val="sr-RS" w:eastAsia="sr-Latn-RS"/>
        </w:rPr>
        <w:t xml:space="preserve">Тренутно, Општина Беочин се највише ослања на мрежу установа социјалне заштите Града Новог Сада. </w:t>
      </w:r>
    </w:p>
    <w:p>
      <w:pPr>
        <w:pStyle w:val="Normal"/>
        <w:spacing w:lineRule="auto" w:line="240" w:before="0" w:after="0"/>
        <w:ind w:start="360" w:hanging="0"/>
        <w:jc w:val="both"/>
        <w:rPr>
          <w:rFonts w:ascii="Tahoma" w:hAnsi="Tahoma" w:eastAsia="Times New Roman" w:cs="Tahoma"/>
          <w:sz w:val="20"/>
          <w:szCs w:val="24"/>
          <w:lang w:val="sr-Latn-RS" w:eastAsia="sr-Latn-RS"/>
        </w:rPr>
      </w:pPr>
      <w:r>
        <w:rPr>
          <w:rFonts w:eastAsia="Times New Roman" w:cs="Tahoma" w:ascii="Tahoma" w:hAnsi="Tahoma"/>
          <w:sz w:val="20"/>
          <w:szCs w:val="24"/>
          <w:lang w:val="sr-Latn-RS" w:eastAsia="sr-Latn-RS"/>
        </w:rPr>
      </w:r>
    </w:p>
    <w:p>
      <w:pPr>
        <w:pStyle w:val="ListParagraph"/>
        <w:numPr>
          <w:ilvl w:val="2"/>
          <w:numId w:val="1"/>
        </w:numPr>
        <w:spacing w:lineRule="auto" w:line="240" w:beforeAutospacing="1" w:afterAutospacing="1"/>
        <w:ind w:start="851" w:hanging="851"/>
        <w:contextualSpacing/>
        <w:outlineLvl w:val="2"/>
        <w:rPr>
          <w:rFonts w:ascii="Tahoma" w:hAnsi="Tahoma" w:eastAsia="DejaVu Sans" w:cs="Tahoma" w:eastAsiaTheme="majorEastAsia"/>
          <w:color w:val="0070C0"/>
          <w:sz w:val="24"/>
          <w:szCs w:val="24"/>
          <w:lang w:val="sr-RS"/>
        </w:rPr>
      </w:pPr>
      <w:bookmarkStart w:id="25" w:name="_Toc188876954"/>
      <w:r>
        <w:rPr>
          <w:rFonts w:eastAsia="DejaVu Sans" w:cs="Tahoma" w:ascii="Tahoma" w:hAnsi="Tahoma" w:eastAsiaTheme="majorEastAsia"/>
          <w:color w:val="0070C0"/>
          <w:sz w:val="24"/>
          <w:szCs w:val="24"/>
          <w:lang w:val="sr-RS"/>
        </w:rPr>
        <w:t>Институционални капацитети за обезбеђивање социјалне заштите у општини Беочин</w:t>
      </w:r>
      <w:bookmarkEnd w:id="25"/>
    </w:p>
    <w:p>
      <w:pPr>
        <w:pStyle w:val="ListParagraph"/>
        <w:spacing w:lineRule="auto" w:line="240" w:before="0" w:after="0"/>
        <w:contextualSpacing/>
        <w:jc w:val="both"/>
        <w:rPr>
          <w:rFonts w:ascii="Tahoma" w:hAnsi="Tahoma" w:cs="Tahoma"/>
          <w:color w:val="0070C0"/>
          <w:sz w:val="20"/>
          <w:szCs w:val="24"/>
          <w:lang w:val="sr-Latn-RS"/>
        </w:rPr>
      </w:pPr>
      <w:r>
        <w:rPr>
          <w:rFonts w:cs="Tahoma" w:ascii="Tahoma" w:hAnsi="Tahoma"/>
          <w:color w:val="0070C0"/>
          <w:sz w:val="20"/>
          <w:szCs w:val="24"/>
          <w:lang w:val="sr-Latn-RS"/>
        </w:rPr>
      </w:r>
    </w:p>
    <w:p>
      <w:pPr>
        <w:pStyle w:val="Normal"/>
        <w:spacing w:lineRule="auto" w:line="240" w:before="0" w:after="0"/>
        <w:jc w:val="both"/>
        <w:rPr>
          <w:rFonts w:ascii="Tahoma" w:hAnsi="Tahoma" w:cs="Tahoma"/>
          <w:b/>
          <w:b/>
          <w:bCs/>
          <w:color w:val="70AD47" w:themeColor="accent6"/>
          <w:sz w:val="20"/>
          <w:lang w:val="sr-RS"/>
        </w:rPr>
      </w:pPr>
      <w:r>
        <w:rPr>
          <w:rFonts w:cs="Tahoma" w:ascii="Tahoma" w:hAnsi="Tahoma"/>
          <w:b/>
          <w:bCs/>
          <w:color w:val="70AD47" w:themeColor="accent6"/>
          <w:sz w:val="20"/>
          <w:lang w:val="sr-RS"/>
        </w:rPr>
      </w:r>
    </w:p>
    <w:p>
      <w:pPr>
        <w:pStyle w:val="Normal"/>
        <w:spacing w:lineRule="auto" w:line="240" w:before="0" w:after="0"/>
        <w:jc w:val="both"/>
        <w:rPr>
          <w:rFonts w:ascii="Tahoma" w:hAnsi="Tahoma" w:cs="Tahoma"/>
          <w:sz w:val="20"/>
          <w:lang w:val="sr-RS"/>
        </w:rPr>
      </w:pPr>
      <w:r>
        <w:rPr>
          <w:rFonts w:cs="Tahoma" w:ascii="Tahoma" w:hAnsi="Tahoma"/>
          <w:sz w:val="20"/>
          <w:lang w:val="sr-RS"/>
        </w:rPr>
        <w:t>Организациона структура општине Беочин је веома комплекс</w:t>
      </w:r>
      <w:r>
        <w:rPr>
          <w:rFonts w:cs="Tahoma" w:ascii="Tahoma" w:hAnsi="Tahoma"/>
          <w:sz w:val="20"/>
          <w:lang w:val="sr-Latn-RS"/>
        </w:rPr>
        <w:t>н</w:t>
      </w:r>
      <w:r>
        <w:rPr>
          <w:rFonts w:cs="Tahoma" w:ascii="Tahoma" w:hAnsi="Tahoma"/>
          <w:sz w:val="20"/>
          <w:lang w:val="sr-RS"/>
        </w:rPr>
        <w:t xml:space="preserve">а и састоји се од бројних организационих делова различитог хијерархијског нивоа. Органи Општине су: Скупштина општине, председник Општине, Општинско веће, Општинска управа и Правобранилаштво општине. Основна унутрашња организациона јединица општине Беочин је одељење. Према систематизацији радних места Општине разликујемо следећа одељења: </w:t>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1. Одељење за имовинске, опште и заједничке послове; </w:t>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2. Одељење за буџет и финансије; </w:t>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3. Одељење за инспекцијске послове, урбанизам и заштиту животне средине и </w:t>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4. Одељење за привреду и локални економски развој. </w:t>
      </w:r>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Ако природа и обим послова налажу, унутар основних унутрашњих организационих јединица могу се образовати уже организационе јединице: одсеци, а унутар одсека – групе. Тако се у оквиру Одељења за општу управу и заједничке послове образује Одсек за евиденцију и управљање општинском имовином и Услужни центар. Такође се у месним заједницама као део овог Одељења као нижи унутрашњи организациони облик Општинске управе за обављање послова из надлежности општине образују месне канцеларије. У Одељењу за буџет и финансије образује се Одсек за јавне набавке. У Одељењу за привреду и локални економски развој образује се Одсек за локалну пореску администарцију. У Општинској управи се као посебна организационa јединицa образује Кабинет председника општине. Кабинет председника општине је посебна организациона јединица која се образује за обављање саветодавних и протоколарних послова, послова за односе с јавношћу и административно-техничких послова који су значајни за рад председника општине. Радом Кабинета председника општине као посебне организационе јединице координира председник Општине. </w:t>
      </w:r>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Од организација социјалне заштите у општини функционише Центар за социјални рад Града Новог Сада- одељење у Беочину, са 6 запослених. Општина Беочин се у области социјалне заштите у великој мери ослања на ресурсе пружалаца услуга и установа социјалне заштите које су основане од стране Града Новог Сада. Са самим Градом Новим Садом општина нема склопљен споразум о међуопштинској сарадњи. </w:t>
      </w:r>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Општина издваја средства за организације цивилног друштва путем годишњег Конкурса за доделу средстава из буџета општине Беочин удружењима, за реализовање програма од интереса за општину Беочин. У 2024. години опредељено је 2.500.000,00   динара, и то за програме и пројекте удружења чије је деловање везано за следеће области од јавног интереса: социјалне заштите; борачко- инвалидске заштите; заштите лица са инвалидитетом;  заштите интерно расељених лица са Косова и Метохије и избеглица; друштвене бриге о деци;  подстицање наталитета; помоћи старима итд. </w:t>
      </w:r>
      <w:r>
        <w:rPr>
          <w:rFonts w:cs="Tahoma" w:ascii="Tahoma" w:hAnsi="Tahoma"/>
          <w:sz w:val="20"/>
          <w:lang w:val="sr-Latn-RS"/>
        </w:rPr>
        <w:t xml:space="preserve">Резултати конкурса још увек нису објављени али у овој години </w:t>
      </w:r>
      <w:r>
        <w:rPr>
          <w:rFonts w:cs="Tahoma" w:ascii="Tahoma" w:hAnsi="Tahoma"/>
          <w:sz w:val="20"/>
          <w:lang w:val="sr-RS"/>
        </w:rPr>
        <w:t xml:space="preserve">је Комисија за оцену поднетих предлога пројеката/програма предложила </w:t>
      </w:r>
      <w:r>
        <w:rPr>
          <w:rFonts w:cs="Tahoma" w:ascii="Tahoma" w:hAnsi="Tahoma"/>
          <w:sz w:val="20"/>
          <w:lang w:val="sr-Latn-RS"/>
        </w:rPr>
        <w:t>пројект</w:t>
      </w:r>
      <w:r>
        <w:rPr>
          <w:rFonts w:cs="Tahoma" w:ascii="Tahoma" w:hAnsi="Tahoma"/>
          <w:sz w:val="20"/>
          <w:lang w:val="sr-RS"/>
        </w:rPr>
        <w:t>е</w:t>
      </w:r>
      <w:r>
        <w:rPr>
          <w:rFonts w:cs="Tahoma" w:ascii="Tahoma" w:hAnsi="Tahoma"/>
          <w:sz w:val="20"/>
          <w:lang w:val="sr-Latn-RS"/>
        </w:rPr>
        <w:t xml:space="preserve"> 3 организације који би се условно речено могли сврстати у област социјалне политике (нема услуга или п</w:t>
      </w:r>
      <w:r>
        <w:rPr>
          <w:rFonts w:cs="Tahoma" w:ascii="Tahoma" w:hAnsi="Tahoma"/>
          <w:sz w:val="20"/>
          <w:lang w:val="sr-RS"/>
        </w:rPr>
        <w:t>р</w:t>
      </w:r>
      <w:r>
        <w:rPr>
          <w:rFonts w:cs="Tahoma" w:ascii="Tahoma" w:hAnsi="Tahoma"/>
          <w:sz w:val="20"/>
          <w:lang w:val="sr-Latn-RS"/>
        </w:rPr>
        <w:t>ојеката у области социјалне заштит</w:t>
      </w:r>
      <w:r>
        <w:rPr>
          <w:rFonts w:cs="Tahoma" w:ascii="Tahoma" w:hAnsi="Tahoma"/>
          <w:sz w:val="20"/>
          <w:lang w:val="sr-RS"/>
        </w:rPr>
        <w:t>е</w:t>
      </w:r>
      <w:r>
        <w:rPr>
          <w:rFonts w:cs="Tahoma" w:ascii="Tahoma" w:hAnsi="Tahoma"/>
          <w:sz w:val="20"/>
          <w:lang w:val="sr-Latn-RS"/>
        </w:rPr>
        <w:t xml:space="preserve">): </w:t>
      </w:r>
      <w:r>
        <w:rPr>
          <w:rFonts w:cs="Tahoma" w:ascii="Tahoma" w:hAnsi="Tahoma"/>
          <w:sz w:val="20"/>
          <w:lang w:val="sr-RS"/>
        </w:rPr>
        <w:t xml:space="preserve">око 200.000 динара Удружењу за борбу против дијабеса, 120.000 динара Удружењу инвалида рада општине Беочин и 120.000. Удружењу војних инвалида рата. Остатак средстава је додељен удружењима која делују у другим областима, јер на територији општине и нема удружења која се баве социјалном заштитом или пружањем услуга социјалне заштите. </w:t>
      </w:r>
    </w:p>
    <w:p>
      <w:pPr>
        <w:pStyle w:val="Normal"/>
        <w:spacing w:lineRule="auto" w:line="240" w:before="0" w:after="0"/>
        <w:jc w:val="both"/>
        <w:rPr>
          <w:rFonts w:ascii="Tahoma" w:hAnsi="Tahoma" w:cs="Tahoma"/>
          <w:b/>
          <w:b/>
          <w:bCs/>
          <w:sz w:val="20"/>
          <w:lang w:val="sr-RS"/>
        </w:rPr>
      </w:pPr>
      <w:r>
        <w:rPr>
          <w:rFonts w:cs="Tahoma" w:ascii="Tahoma" w:hAnsi="Tahoma"/>
          <w:b/>
          <w:bCs/>
          <w:sz w:val="20"/>
          <w:lang w:val="sr-RS"/>
        </w:rPr>
      </w:r>
    </w:p>
    <w:p>
      <w:pPr>
        <w:pStyle w:val="Normal"/>
        <w:spacing w:lineRule="auto" w:line="240" w:before="0" w:after="0"/>
        <w:jc w:val="both"/>
        <w:rPr>
          <w:rFonts w:ascii="Tahoma" w:hAnsi="Tahoma" w:cs="Tahoma"/>
          <w:sz w:val="20"/>
          <w:lang w:val="sr-Latn-RS"/>
        </w:rPr>
      </w:pPr>
      <w:r>
        <w:rPr>
          <w:rFonts w:cs="Tahoma" w:ascii="Tahoma" w:hAnsi="Tahoma"/>
          <w:sz w:val="20"/>
          <w:lang w:val="sr-Latn-RS"/>
        </w:rPr>
      </w:r>
    </w:p>
    <w:p>
      <w:pPr>
        <w:pStyle w:val="Heading2"/>
        <w:numPr>
          <w:ilvl w:val="1"/>
          <w:numId w:val="1"/>
        </w:numPr>
        <w:spacing w:lineRule="auto" w:line="240"/>
        <w:ind w:start="900" w:hanging="540"/>
        <w:jc w:val="both"/>
        <w:rPr>
          <w:rFonts w:ascii="Tahoma" w:hAnsi="Tahoma" w:cs="Tahoma"/>
          <w:sz w:val="28"/>
          <w:szCs w:val="28"/>
          <w:lang w:val="sr-RS"/>
        </w:rPr>
      </w:pPr>
      <w:bookmarkStart w:id="26" w:name="_Toc188876955"/>
      <w:r>
        <w:rPr>
          <w:rFonts w:cs="Tahoma" w:ascii="Tahoma" w:hAnsi="Tahoma"/>
          <w:sz w:val="28"/>
          <w:szCs w:val="28"/>
          <w:lang w:val="sr-RS"/>
        </w:rPr>
        <w:t>Финализација анализе – кључни фактори од значаја за унапређење социјалне заштите у општини Беочин</w:t>
      </w:r>
      <w:bookmarkEnd w:id="26"/>
    </w:p>
    <w:p>
      <w:pPr>
        <w:pStyle w:val="Normal"/>
        <w:rPr>
          <w:lang w:val="sr-RS"/>
        </w:rPr>
      </w:pPr>
      <w:r>
        <w:rPr>
          <w:lang w:val="sr-RS"/>
        </w:rPr>
      </w:r>
    </w:p>
    <w:tbl>
      <w:tblPr>
        <w:tblStyle w:val="TableGrid"/>
        <w:tblW w:w="10348" w:type="dxa"/>
        <w:jc w:val="start"/>
        <w:tblInd w:w="-714" w:type="dxa"/>
        <w:tblLayout w:type="fixed"/>
        <w:tblCellMar>
          <w:top w:w="0" w:type="dxa"/>
          <w:start w:w="108" w:type="dxa"/>
          <w:bottom w:w="0" w:type="dxa"/>
          <w:end w:w="108" w:type="dxa"/>
        </w:tblCellMar>
        <w:tblLook w:firstRow="1" w:noVBand="1" w:lastRow="0" w:firstColumn="1" w:lastColumn="0" w:noHBand="0" w:val="04a0"/>
      </w:tblPr>
      <w:tblGrid>
        <w:gridCol w:w="4820"/>
        <w:gridCol w:w="5527"/>
      </w:tblGrid>
      <w:tr>
        <w:trPr/>
        <w:tc>
          <w:tcPr>
            <w:tcW w:w="4820" w:type="dxa"/>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sz w:val="20"/>
                <w:szCs w:val="18"/>
                <w:lang w:eastAsia="sr-Latn-RS"/>
              </w:rPr>
            </w:pPr>
            <w:r>
              <w:rPr>
                <w:rFonts w:eastAsia="Times New Roman" w:cs="Tahoma" w:ascii="Tahoma" w:hAnsi="Tahoma"/>
                <w:b/>
                <w:bCs/>
                <w:kern w:val="2"/>
                <w:sz w:val="20"/>
                <w:szCs w:val="18"/>
                <w:lang w:val="en-US" w:eastAsia="sr-Latn-RS" w:bidi="ar-SA"/>
              </w:rPr>
              <w:t>СНАГЕ</w:t>
            </w:r>
          </w:p>
        </w:tc>
        <w:tc>
          <w:tcPr>
            <w:tcW w:w="5527" w:type="dxa"/>
            <w:tcBorders/>
            <w:shd w:color="auto" w:fill="D9E2F3" w:themeFill="accent1" w:themeFillTint="33" w:val="clear"/>
          </w:tcPr>
          <w:p>
            <w:pPr>
              <w:pStyle w:val="Normal"/>
              <w:widowControl w:val="false"/>
              <w:suppressAutoHyphens w:val="true"/>
              <w:spacing w:lineRule="auto" w:line="240" w:before="0" w:after="0"/>
              <w:ind w:start="360" w:hanging="0"/>
              <w:jc w:val="start"/>
              <w:rPr>
                <w:rFonts w:ascii="Tahoma" w:hAnsi="Tahoma" w:eastAsia="Times New Roman" w:cs="Tahoma"/>
                <w:sz w:val="20"/>
                <w:szCs w:val="18"/>
                <w:lang w:eastAsia="sr-Latn-RS"/>
              </w:rPr>
            </w:pPr>
            <w:r>
              <w:rPr>
                <w:rFonts w:eastAsia="Times New Roman" w:cs="Tahoma" w:ascii="Tahoma" w:hAnsi="Tahoma"/>
                <w:b/>
                <w:bCs/>
                <w:kern w:val="2"/>
                <w:sz w:val="20"/>
                <w:szCs w:val="18"/>
                <w:lang w:val="en-US" w:eastAsia="sr-Latn-RS" w:bidi="ar-SA"/>
              </w:rPr>
              <w:t>СЛАБОСТИ</w:t>
            </w:r>
          </w:p>
          <w:p>
            <w:pPr>
              <w:pStyle w:val="Normal"/>
              <w:widowControl w:val="false"/>
              <w:suppressAutoHyphens w:val="true"/>
              <w:spacing w:lineRule="auto" w:line="240" w:before="0" w:after="0"/>
              <w:jc w:val="start"/>
              <w:rPr>
                <w:rFonts w:ascii="Tahoma" w:hAnsi="Tahoma" w:eastAsia="Times New Roman" w:cs="Tahoma"/>
                <w:sz w:val="20"/>
                <w:szCs w:val="18"/>
                <w:lang w:eastAsia="sr-Latn-RS"/>
              </w:rPr>
            </w:pPr>
            <w:r>
              <w:rPr>
                <w:rFonts w:eastAsia="Times New Roman" w:cs="Tahoma" w:ascii="Tahoma" w:hAnsi="Tahoma"/>
                <w:sz w:val="20"/>
                <w:szCs w:val="18"/>
                <w:lang w:eastAsia="sr-Latn-RS"/>
              </w:rPr>
            </w:r>
          </w:p>
        </w:tc>
      </w:tr>
      <w:tr>
        <w:trPr/>
        <w:tc>
          <w:tcPr>
            <w:tcW w:w="4820" w:type="dxa"/>
            <w:tcBorders/>
          </w:tcPr>
          <w:p>
            <w:pPr>
              <w:pStyle w:val="Normal"/>
              <w:widowControl w:val="false"/>
              <w:numPr>
                <w:ilvl w:val="0"/>
                <w:numId w:val="8"/>
              </w:numPr>
              <w:suppressAutoHyphens w:val="true"/>
              <w:spacing w:lineRule="auto" w:line="240" w:before="0" w:after="0"/>
              <w:ind w:start="316" w:hanging="360"/>
              <w:jc w:val="start"/>
              <w:rPr>
                <w:rFonts w:ascii="Tahoma" w:hAnsi="Tahoma" w:eastAsia="Times New Roman" w:cs="Tahoma"/>
                <w:sz w:val="20"/>
                <w:szCs w:val="18"/>
                <w:lang w:eastAsia="sr-Latn-RS"/>
              </w:rPr>
            </w:pPr>
            <w:r>
              <w:rPr>
                <w:rFonts w:eastAsia="Times New Roman" w:cs="Tahoma" w:ascii="Tahoma" w:hAnsi="Tahoma"/>
                <w:bCs/>
                <w:kern w:val="2"/>
                <w:sz w:val="20"/>
                <w:szCs w:val="18"/>
                <w:lang w:val="en-US" w:eastAsia="sr-Latn-RS" w:bidi="ar-SA"/>
              </w:rPr>
              <w:t>Плански и нормативни оквир</w:t>
            </w:r>
            <w:r>
              <w:rPr>
                <w:rFonts w:eastAsia="Times New Roman" w:cs="Tahoma" w:ascii="Tahoma" w:hAnsi="Tahoma"/>
                <w:kern w:val="2"/>
                <w:sz w:val="20"/>
                <w:szCs w:val="18"/>
                <w:lang w:val="en-US" w:eastAsia="sr-Latn-RS" w:bidi="ar-SA"/>
              </w:rPr>
              <w:t xml:space="preserve"> - Општина Беочин има успостављен План развоја за период 2023-2030, који укључује мере за унапређење социјалне заштите. Укључена је и Одлука о социјалној заштити, која регулише права и услуге за одређене категорије корисника, као што су деца са сметњама у развоју, старије особе и особе са инвалидитетом</w:t>
            </w:r>
          </w:p>
          <w:p>
            <w:pPr>
              <w:pStyle w:val="Normal"/>
              <w:widowControl w:val="false"/>
              <w:numPr>
                <w:ilvl w:val="0"/>
                <w:numId w:val="8"/>
              </w:numPr>
              <w:suppressAutoHyphens w:val="true"/>
              <w:spacing w:lineRule="auto" w:line="240" w:before="0" w:after="0"/>
              <w:ind w:start="316" w:hanging="360"/>
              <w:jc w:val="start"/>
              <w:rPr>
                <w:rFonts w:ascii="Tahoma" w:hAnsi="Tahoma" w:eastAsia="Times New Roman" w:cs="Tahoma"/>
                <w:sz w:val="20"/>
                <w:szCs w:val="18"/>
                <w:lang w:val="sr-RS" w:eastAsia="sr-Latn-RS"/>
              </w:rPr>
            </w:pPr>
            <w:r>
              <w:rPr>
                <w:rFonts w:eastAsia="Times New Roman" w:cs="Tahoma" w:ascii="Tahoma" w:hAnsi="Tahoma"/>
                <w:bCs/>
                <w:kern w:val="2"/>
                <w:sz w:val="20"/>
                <w:szCs w:val="18"/>
                <w:lang w:val="sr-RS" w:eastAsia="sr-Latn-RS" w:bidi="ar-SA"/>
              </w:rPr>
              <w:t>Центар за социјални рад-одељење у Беочину је ефикасно и постоји одлична сарадња између ЈЛС и ЦСР. ЦСР Нови Сад има кадрове, опрему, возила, што олакшава сарадњу и функционисање Одељења у Беочину</w:t>
            </w:r>
          </w:p>
          <w:p>
            <w:pPr>
              <w:pStyle w:val="Normal"/>
              <w:widowControl w:val="false"/>
              <w:numPr>
                <w:ilvl w:val="0"/>
                <w:numId w:val="8"/>
              </w:numPr>
              <w:suppressAutoHyphens w:val="true"/>
              <w:spacing w:lineRule="auto" w:line="240" w:before="0" w:after="0"/>
              <w:ind w:start="316" w:hanging="360"/>
              <w:jc w:val="start"/>
              <w:rPr>
                <w:rFonts w:ascii="Tahoma" w:hAnsi="Tahoma" w:eastAsia="Times New Roman" w:cs="Tahoma"/>
                <w:sz w:val="20"/>
                <w:szCs w:val="18"/>
                <w:lang w:val="sr-RS" w:eastAsia="sr-Latn-RS"/>
              </w:rPr>
            </w:pPr>
            <w:r>
              <w:rPr>
                <w:rFonts w:eastAsia="Times New Roman" w:cs="Tahoma" w:ascii="Tahoma" w:hAnsi="Tahoma"/>
                <w:bCs/>
                <w:kern w:val="2"/>
                <w:sz w:val="20"/>
                <w:szCs w:val="18"/>
                <w:lang w:val="sr-RS" w:eastAsia="sr-Latn-RS" w:bidi="ar-SA"/>
              </w:rPr>
              <w:t>Иницијативе за увођење нових услуга</w:t>
            </w:r>
            <w:r>
              <w:rPr>
                <w:rFonts w:eastAsia="Times New Roman" w:cs="Tahoma" w:ascii="Tahoma" w:hAnsi="Tahoma"/>
                <w:kern w:val="2"/>
                <w:sz w:val="20"/>
                <w:szCs w:val="18"/>
                <w:lang w:val="sr-RS" w:eastAsia="sr-Latn-RS" w:bidi="ar-SA"/>
              </w:rPr>
              <w:t xml:space="preserve"> - Општина је предузела кораке ка увођењу нових услуга као што је Помоћ у кући, што би омогућило бољи приступ основним социјалним услугама за старије и угрожене категорије</w:t>
            </w:r>
          </w:p>
          <w:p>
            <w:pPr>
              <w:pStyle w:val="Normal"/>
              <w:widowControl w:val="false"/>
              <w:numPr>
                <w:ilvl w:val="0"/>
                <w:numId w:val="8"/>
              </w:numPr>
              <w:suppressAutoHyphens w:val="true"/>
              <w:spacing w:lineRule="auto" w:line="240" w:before="0" w:after="0"/>
              <w:ind w:start="316" w:hanging="360"/>
              <w:jc w:val="start"/>
              <w:rPr>
                <w:rFonts w:ascii="Tahoma" w:hAnsi="Tahoma" w:eastAsia="Times New Roman" w:cs="Tahoma"/>
                <w:sz w:val="20"/>
                <w:szCs w:val="18"/>
                <w:lang w:val="sr-RS" w:eastAsia="sr-Latn-RS"/>
              </w:rPr>
            </w:pPr>
            <w:r>
              <w:rPr>
                <w:rFonts w:eastAsia="Times New Roman" w:cs="Tahoma" w:ascii="Tahoma" w:hAnsi="Tahoma"/>
                <w:kern w:val="2"/>
                <w:sz w:val="20"/>
                <w:szCs w:val="18"/>
                <w:lang w:val="sr-RS" w:eastAsia="sr-Latn-RS" w:bidi="ar-SA"/>
              </w:rPr>
              <w:t>Услуга личног пратиоца се пружа за 10 деце</w:t>
            </w:r>
          </w:p>
          <w:p>
            <w:pPr>
              <w:pStyle w:val="Normal"/>
              <w:widowControl w:val="false"/>
              <w:numPr>
                <w:ilvl w:val="0"/>
                <w:numId w:val="8"/>
              </w:numPr>
              <w:suppressAutoHyphens w:val="true"/>
              <w:spacing w:lineRule="auto" w:line="240" w:before="0" w:after="0"/>
              <w:ind w:start="316" w:hanging="360"/>
              <w:jc w:val="start"/>
              <w:rPr>
                <w:rFonts w:ascii="Tahoma" w:hAnsi="Tahoma" w:eastAsia="Times New Roman" w:cs="Tahoma"/>
                <w:sz w:val="20"/>
                <w:szCs w:val="18"/>
                <w:lang w:val="sr-RS" w:eastAsia="sr-Latn-RS"/>
              </w:rPr>
            </w:pPr>
            <w:r>
              <w:rPr>
                <w:rFonts w:eastAsia="Times New Roman" w:cs="Tahoma" w:ascii="Tahoma" w:hAnsi="Tahoma"/>
                <w:bCs/>
                <w:kern w:val="2"/>
                <w:sz w:val="20"/>
                <w:szCs w:val="18"/>
                <w:lang w:val="sr-RS" w:eastAsia="sr-Latn-RS" w:bidi="ar-SA"/>
              </w:rPr>
              <w:t>Подршка виших нивоа власти</w:t>
            </w:r>
            <w:r>
              <w:rPr>
                <w:rFonts w:eastAsia="Times New Roman" w:cs="Tahoma" w:ascii="Tahoma" w:hAnsi="Tahoma"/>
                <w:kern w:val="2"/>
                <w:sz w:val="20"/>
                <w:szCs w:val="18"/>
                <w:lang w:val="sr-RS" w:eastAsia="sr-Latn-RS" w:bidi="ar-SA"/>
              </w:rPr>
              <w:t xml:space="preserve"> - Пакет подршке за унапређење социјалне заштите у сарадњи са Сталном конференцијом градова и општина, који подразумева финансијску и техничку помоћ</w:t>
            </w:r>
          </w:p>
          <w:p>
            <w:pPr>
              <w:pStyle w:val="Normal"/>
              <w:widowControl w:val="false"/>
              <w:numPr>
                <w:ilvl w:val="0"/>
                <w:numId w:val="8"/>
              </w:numPr>
              <w:suppressAutoHyphens w:val="true"/>
              <w:spacing w:lineRule="auto" w:line="240" w:before="0" w:after="0"/>
              <w:ind w:start="316" w:hanging="360"/>
              <w:jc w:val="start"/>
              <w:rPr>
                <w:rFonts w:ascii="Tahoma" w:hAnsi="Tahoma" w:eastAsia="Times New Roman" w:cs="Tahoma"/>
                <w:sz w:val="20"/>
                <w:szCs w:val="18"/>
                <w:lang w:val="sr-RS" w:eastAsia="sr-Latn-RS"/>
              </w:rPr>
            </w:pPr>
            <w:r>
              <w:rPr>
                <w:rFonts w:eastAsia="Times New Roman" w:cs="Tahoma" w:ascii="Tahoma" w:hAnsi="Tahoma"/>
                <w:bCs/>
                <w:kern w:val="2"/>
                <w:sz w:val="20"/>
                <w:szCs w:val="18"/>
                <w:lang w:val="sr-RS" w:eastAsia="sr-Latn-RS" w:bidi="ar-SA"/>
              </w:rPr>
              <w:t>Имамо капацитет за шире консултације и јавност је заинтересована и респонсивна кад је у питању социјална заштита</w:t>
            </w:r>
          </w:p>
          <w:p>
            <w:pPr>
              <w:pStyle w:val="ListParagraph"/>
              <w:widowControl w:val="false"/>
              <w:numPr>
                <w:ilvl w:val="0"/>
                <w:numId w:val="8"/>
              </w:numPr>
              <w:suppressAutoHyphens w:val="true"/>
              <w:spacing w:lineRule="auto" w:line="240" w:before="0" w:after="0"/>
              <w:ind w:start="316" w:hanging="360"/>
              <w:contextualSpacing/>
              <w:jc w:val="start"/>
              <w:rPr>
                <w:rFonts w:ascii="Tahoma" w:hAnsi="Tahoma" w:eastAsia="Times New Roman" w:cs="Tahoma"/>
                <w:sz w:val="20"/>
                <w:szCs w:val="18"/>
                <w:lang w:val="sr-RS" w:eastAsia="sr-Latn-RS"/>
              </w:rPr>
            </w:pPr>
            <w:r>
              <w:rPr>
                <w:rFonts w:eastAsia="Times New Roman" w:cs="Tahoma" w:ascii="Tahoma" w:hAnsi="Tahoma"/>
                <w:bCs/>
                <w:kern w:val="2"/>
                <w:sz w:val="20"/>
                <w:szCs w:val="18"/>
                <w:lang w:val="sr-RS" w:eastAsia="sr-Latn-RS" w:bidi="ar-SA"/>
              </w:rPr>
              <w:t>Већа запошљивост грађана захваљујући отварању нових радних места</w:t>
            </w:r>
          </w:p>
          <w:p>
            <w:pPr>
              <w:pStyle w:val="ListParagraph"/>
              <w:widowControl w:val="false"/>
              <w:numPr>
                <w:ilvl w:val="0"/>
                <w:numId w:val="8"/>
              </w:numPr>
              <w:suppressAutoHyphens w:val="true"/>
              <w:spacing w:lineRule="auto" w:line="240" w:before="0" w:after="0"/>
              <w:ind w:start="316" w:hanging="360"/>
              <w:contextualSpacing/>
              <w:jc w:val="start"/>
              <w:rPr>
                <w:rFonts w:ascii="Tahoma" w:hAnsi="Tahoma" w:eastAsia="Times New Roman" w:cs="Tahoma"/>
                <w:sz w:val="20"/>
                <w:szCs w:val="18"/>
                <w:lang w:eastAsia="sr-Latn-RS"/>
              </w:rPr>
            </w:pPr>
            <w:r>
              <w:rPr>
                <w:rFonts w:eastAsia="Times New Roman" w:cs="Tahoma" w:ascii="Tahoma" w:hAnsi="Tahoma"/>
                <w:bCs/>
                <w:kern w:val="2"/>
                <w:sz w:val="20"/>
                <w:szCs w:val="18"/>
                <w:lang w:val="sr-RS" w:eastAsia="sr-Latn-RS" w:bidi="ar-SA"/>
              </w:rPr>
              <w:t>Активан Црвени крст</w:t>
            </w:r>
          </w:p>
          <w:p>
            <w:pPr>
              <w:pStyle w:val="ListParagraph"/>
              <w:widowControl w:val="false"/>
              <w:numPr>
                <w:ilvl w:val="0"/>
                <w:numId w:val="8"/>
              </w:numPr>
              <w:suppressAutoHyphens w:val="true"/>
              <w:spacing w:lineRule="auto" w:line="240" w:before="0" w:after="0"/>
              <w:ind w:start="316" w:hanging="360"/>
              <w:contextualSpacing/>
              <w:jc w:val="start"/>
              <w:rPr>
                <w:rFonts w:ascii="Tahoma" w:hAnsi="Tahoma" w:eastAsia="Times New Roman" w:cs="Tahoma"/>
                <w:sz w:val="20"/>
                <w:szCs w:val="18"/>
                <w:lang w:eastAsia="sr-Latn-RS"/>
              </w:rPr>
            </w:pPr>
            <w:r>
              <w:rPr>
                <w:rFonts w:eastAsia="Times New Roman" w:cs="Tahoma" w:ascii="Tahoma" w:hAnsi="Tahoma"/>
                <w:bCs/>
                <w:kern w:val="2"/>
                <w:sz w:val="20"/>
                <w:szCs w:val="18"/>
                <w:lang w:val="sr-RS" w:eastAsia="sr-Latn-RS" w:bidi="ar-SA"/>
              </w:rPr>
              <w:t>Активно удружење пензионера</w:t>
            </w:r>
          </w:p>
          <w:p>
            <w:pPr>
              <w:pStyle w:val="ListParagraph"/>
              <w:widowControl w:val="false"/>
              <w:suppressAutoHyphens w:val="true"/>
              <w:spacing w:lineRule="auto" w:line="240" w:before="0" w:after="0"/>
              <w:ind w:start="316" w:hanging="0"/>
              <w:contextualSpacing/>
              <w:jc w:val="start"/>
              <w:rPr>
                <w:rFonts w:ascii="Tahoma" w:hAnsi="Tahoma" w:eastAsia="Times New Roman" w:cs="Tahoma"/>
                <w:sz w:val="20"/>
                <w:szCs w:val="18"/>
                <w:lang w:eastAsia="sr-Latn-RS"/>
              </w:rPr>
            </w:pPr>
            <w:r>
              <w:rPr>
                <w:rFonts w:eastAsia="Times New Roman" w:cs="Tahoma" w:ascii="Tahoma" w:hAnsi="Tahoma"/>
                <w:sz w:val="20"/>
                <w:szCs w:val="18"/>
                <w:lang w:eastAsia="sr-Latn-RS"/>
              </w:rPr>
            </w:r>
          </w:p>
        </w:tc>
        <w:tc>
          <w:tcPr>
            <w:tcW w:w="5527" w:type="dxa"/>
            <w:tcBorders/>
          </w:tcPr>
          <w:p>
            <w:pPr>
              <w:pStyle w:val="Normal"/>
              <w:widowControl w:val="false"/>
              <w:numPr>
                <w:ilvl w:val="0"/>
                <w:numId w:val="8"/>
              </w:numPr>
              <w:suppressAutoHyphens w:val="true"/>
              <w:spacing w:lineRule="auto" w:line="240" w:before="0" w:after="0"/>
              <w:jc w:val="start"/>
              <w:rPr>
                <w:rFonts w:ascii="Tahoma" w:hAnsi="Tahoma" w:eastAsia="Times New Roman" w:cs="Tahoma"/>
                <w:sz w:val="20"/>
                <w:szCs w:val="18"/>
                <w:lang w:eastAsia="sr-Latn-RS"/>
              </w:rPr>
            </w:pPr>
            <w:r>
              <w:rPr>
                <w:rFonts w:eastAsia="Times New Roman" w:cs="Tahoma" w:ascii="Tahoma" w:hAnsi="Tahoma"/>
                <w:bCs/>
                <w:kern w:val="2"/>
                <w:sz w:val="20"/>
                <w:szCs w:val="18"/>
                <w:lang w:val="sr-RS" w:eastAsia="sr-Latn-RS" w:bidi="ar-SA"/>
              </w:rPr>
              <w:t>Средњорочни план није усвојен за актуелни период</w:t>
            </w:r>
          </w:p>
          <w:p>
            <w:pPr>
              <w:pStyle w:val="Normal"/>
              <w:widowControl w:val="false"/>
              <w:numPr>
                <w:ilvl w:val="0"/>
                <w:numId w:val="8"/>
              </w:numPr>
              <w:suppressAutoHyphens w:val="true"/>
              <w:spacing w:lineRule="auto" w:line="240" w:before="0" w:after="0"/>
              <w:jc w:val="start"/>
              <w:rPr>
                <w:rFonts w:ascii="Tahoma" w:hAnsi="Tahoma" w:eastAsia="Times New Roman" w:cs="Tahoma"/>
                <w:sz w:val="20"/>
                <w:szCs w:val="18"/>
                <w:lang w:eastAsia="sr-Latn-RS"/>
              </w:rPr>
            </w:pPr>
            <w:r>
              <w:rPr>
                <w:rFonts w:eastAsia="Times New Roman" w:cs="Tahoma" w:ascii="Tahoma" w:hAnsi="Tahoma"/>
                <w:bCs/>
                <w:kern w:val="2"/>
                <w:sz w:val="20"/>
                <w:szCs w:val="18"/>
                <w:lang w:val="sr-RS" w:eastAsia="sr-Latn-RS" w:bidi="ar-SA"/>
              </w:rPr>
              <w:t>Нормативна акта у области социјалне заштите захтевају ревизију</w:t>
            </w:r>
          </w:p>
          <w:p>
            <w:pPr>
              <w:pStyle w:val="Normal"/>
              <w:widowControl w:val="false"/>
              <w:numPr>
                <w:ilvl w:val="0"/>
                <w:numId w:val="8"/>
              </w:numPr>
              <w:suppressAutoHyphens w:val="true"/>
              <w:spacing w:lineRule="auto" w:line="240" w:before="0" w:after="0"/>
              <w:jc w:val="start"/>
              <w:rPr>
                <w:rFonts w:ascii="Tahoma" w:hAnsi="Tahoma" w:eastAsia="Times New Roman" w:cs="Tahoma"/>
                <w:sz w:val="20"/>
                <w:szCs w:val="18"/>
                <w:lang w:eastAsia="sr-Latn-RS"/>
              </w:rPr>
            </w:pPr>
            <w:r>
              <w:rPr>
                <w:rFonts w:eastAsia="Times New Roman" w:cs="Tahoma" w:ascii="Tahoma" w:hAnsi="Tahoma"/>
                <w:bCs/>
                <w:kern w:val="2"/>
                <w:sz w:val="20"/>
                <w:szCs w:val="18"/>
                <w:lang w:val="en-US" w:eastAsia="sr-Latn-RS" w:bidi="ar-SA"/>
              </w:rPr>
              <w:t>Недостатак сопственог Центра за социјални рад</w:t>
            </w:r>
          </w:p>
          <w:p>
            <w:pPr>
              <w:pStyle w:val="ListParagraph"/>
              <w:widowControl w:val="false"/>
              <w:numPr>
                <w:ilvl w:val="0"/>
                <w:numId w:val="8"/>
              </w:numPr>
              <w:suppressAutoHyphens w:val="true"/>
              <w:spacing w:lineRule="auto" w:line="240" w:before="0" w:after="0"/>
              <w:contextualSpacing/>
              <w:jc w:val="start"/>
              <w:rPr>
                <w:rFonts w:ascii="Tahoma" w:hAnsi="Tahoma" w:eastAsia="Times New Roman" w:cs="Tahoma"/>
                <w:sz w:val="20"/>
                <w:szCs w:val="18"/>
                <w:lang w:val="sr-RS" w:eastAsia="sr-Latn-RS"/>
              </w:rPr>
            </w:pPr>
            <w:r>
              <w:rPr>
                <w:rFonts w:eastAsia="Times New Roman" w:cs="Tahoma" w:ascii="Tahoma" w:hAnsi="Tahoma"/>
                <w:kern w:val="2"/>
                <w:sz w:val="20"/>
                <w:szCs w:val="18"/>
                <w:lang w:val="en-US" w:eastAsia="sr-Latn-RS" w:bidi="ar-SA"/>
              </w:rPr>
              <w:t>Постојећи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системи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су</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зависни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од</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мреже установа на територији Града Новог Сада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јер на територији општине Беочин нема ниједног лиценцираног пружаоца услуга СЗ</w:t>
            </w:r>
          </w:p>
          <w:p>
            <w:pPr>
              <w:pStyle w:val="ListParagraph"/>
              <w:widowControl w:val="false"/>
              <w:numPr>
                <w:ilvl w:val="0"/>
                <w:numId w:val="8"/>
              </w:numPr>
              <w:suppressAutoHyphens w:val="true"/>
              <w:spacing w:lineRule="auto" w:line="240" w:before="0" w:after="0"/>
              <w:contextualSpacing/>
              <w:jc w:val="start"/>
              <w:rPr>
                <w:rFonts w:ascii="Tahoma" w:hAnsi="Tahoma" w:eastAsia="Times New Roman" w:cs="Tahoma"/>
                <w:sz w:val="20"/>
                <w:szCs w:val="18"/>
                <w:lang w:val="sr-Latn-RS" w:eastAsia="sr-Latn-RS"/>
              </w:rPr>
            </w:pPr>
            <w:r>
              <w:rPr>
                <w:rFonts w:eastAsia="Times New Roman" w:cs="Tahoma" w:ascii="Tahoma" w:hAnsi="Tahoma"/>
                <w:bCs/>
                <w:kern w:val="2"/>
                <w:sz w:val="20"/>
                <w:szCs w:val="18"/>
                <w:lang w:val="sr-RS" w:eastAsia="sr-Latn-RS" w:bidi="ar-SA"/>
              </w:rPr>
              <w:t>Низак</w:t>
            </w:r>
            <w:r>
              <w:rPr>
                <w:rFonts w:eastAsia="Times New Roman" w:cs="Tahoma" w:ascii="Tahoma" w:hAnsi="Tahoma"/>
                <w:bCs/>
                <w:kern w:val="2"/>
                <w:sz w:val="20"/>
                <w:szCs w:val="18"/>
                <w:lang w:val="sr-Latn-RS" w:eastAsia="sr-Latn-RS" w:bidi="ar-SA"/>
              </w:rPr>
              <w:t xml:space="preserve"> </w:t>
            </w:r>
            <w:r>
              <w:rPr>
                <w:rFonts w:eastAsia="Times New Roman" w:cs="Tahoma" w:ascii="Tahoma" w:hAnsi="Tahoma"/>
                <w:bCs/>
                <w:kern w:val="2"/>
                <w:sz w:val="20"/>
                <w:szCs w:val="18"/>
                <w:lang w:val="sr-RS" w:eastAsia="sr-Latn-RS" w:bidi="ar-SA"/>
              </w:rPr>
              <w:t>ниво</w:t>
            </w:r>
            <w:r>
              <w:rPr>
                <w:rFonts w:eastAsia="Times New Roman" w:cs="Tahoma" w:ascii="Tahoma" w:hAnsi="Tahoma"/>
                <w:bCs/>
                <w:kern w:val="2"/>
                <w:sz w:val="20"/>
                <w:szCs w:val="18"/>
                <w:lang w:val="sr-Latn-RS" w:eastAsia="sr-Latn-RS" w:bidi="ar-SA"/>
              </w:rPr>
              <w:t xml:space="preserve"> </w:t>
            </w:r>
            <w:r>
              <w:rPr>
                <w:rFonts w:eastAsia="Times New Roman" w:cs="Tahoma" w:ascii="Tahoma" w:hAnsi="Tahoma"/>
                <w:bCs/>
                <w:kern w:val="2"/>
                <w:sz w:val="20"/>
                <w:szCs w:val="18"/>
                <w:lang w:val="sr-RS" w:eastAsia="sr-Latn-RS" w:bidi="ar-SA"/>
              </w:rPr>
              <w:t>развијености</w:t>
            </w:r>
            <w:r>
              <w:rPr>
                <w:rFonts w:eastAsia="Times New Roman" w:cs="Tahoma" w:ascii="Tahoma" w:hAnsi="Tahoma"/>
                <w:bCs/>
                <w:kern w:val="2"/>
                <w:sz w:val="20"/>
                <w:szCs w:val="18"/>
                <w:lang w:val="sr-Latn-RS" w:eastAsia="sr-Latn-RS" w:bidi="ar-SA"/>
              </w:rPr>
              <w:t xml:space="preserve"> </w:t>
            </w:r>
            <w:r>
              <w:rPr>
                <w:rFonts w:eastAsia="Times New Roman" w:cs="Tahoma" w:ascii="Tahoma" w:hAnsi="Tahoma"/>
                <w:bCs/>
                <w:kern w:val="2"/>
                <w:sz w:val="20"/>
                <w:szCs w:val="18"/>
                <w:lang w:val="sr-RS" w:eastAsia="sr-Latn-RS" w:bidi="ar-SA"/>
              </w:rPr>
              <w:t>услуга</w:t>
            </w:r>
            <w:r>
              <w:rPr>
                <w:rFonts w:eastAsia="Times New Roman" w:cs="Tahoma" w:ascii="Tahoma" w:hAnsi="Tahoma"/>
                <w:kern w:val="2"/>
                <w:sz w:val="20"/>
                <w:szCs w:val="18"/>
                <w:lang w:val="sr-Latn-RS" w:eastAsia="sr-Latn-RS" w:bidi="ar-SA"/>
              </w:rPr>
              <w:t xml:space="preserve"> - </w:t>
            </w:r>
            <w:r>
              <w:rPr>
                <w:rFonts w:eastAsia="Times New Roman" w:cs="Tahoma" w:ascii="Tahoma" w:hAnsi="Tahoma"/>
                <w:kern w:val="2"/>
                <w:sz w:val="20"/>
                <w:szCs w:val="18"/>
                <w:lang w:val="sr-RS" w:eastAsia="sr-Latn-RS" w:bidi="ar-SA"/>
              </w:rPr>
              <w:t>Постоји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недостатак</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услуга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социјалне</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заштите</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у</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општини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Беочин</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укључујући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услуге</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за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тешко</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болесне</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особе</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старије</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особе, децу</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са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инвалидитетом</w:t>
            </w:r>
            <w:r>
              <w:rPr>
                <w:rFonts w:eastAsia="Times New Roman" w:cs="Tahoma" w:ascii="Tahoma" w:hAnsi="Tahoma"/>
                <w:kern w:val="2"/>
                <w:sz w:val="20"/>
                <w:szCs w:val="18"/>
                <w:lang w:val="sr-Latn-RS" w:eastAsia="sr-Latn-RS" w:bidi="ar-SA"/>
              </w:rPr>
              <w:t>.</w:t>
            </w:r>
          </w:p>
          <w:p>
            <w:pPr>
              <w:pStyle w:val="ListParagraph"/>
              <w:widowControl w:val="false"/>
              <w:numPr>
                <w:ilvl w:val="0"/>
                <w:numId w:val="8"/>
              </w:numPr>
              <w:suppressAutoHyphens w:val="true"/>
              <w:spacing w:lineRule="auto" w:line="240" w:before="0" w:after="0"/>
              <w:contextualSpacing/>
              <w:jc w:val="start"/>
              <w:rPr>
                <w:rFonts w:ascii="Tahoma" w:hAnsi="Tahoma" w:eastAsia="Times New Roman" w:cs="Tahoma"/>
                <w:sz w:val="20"/>
                <w:szCs w:val="18"/>
                <w:lang w:val="sr-Latn-RS" w:eastAsia="sr-Latn-RS"/>
              </w:rPr>
            </w:pPr>
            <w:r>
              <w:rPr>
                <w:rFonts w:eastAsia="Times New Roman" w:cs="Tahoma" w:ascii="Tahoma" w:hAnsi="Tahoma"/>
                <w:bCs/>
                <w:kern w:val="2"/>
                <w:sz w:val="20"/>
                <w:szCs w:val="18"/>
                <w:lang w:val="sr-RS" w:eastAsia="sr-Latn-RS" w:bidi="ar-SA"/>
              </w:rPr>
              <w:t>Услуга личног пратиоца није успостављена у складу са ЗСЗ односно не спроводи се набавка</w:t>
            </w:r>
          </w:p>
          <w:p>
            <w:pPr>
              <w:pStyle w:val="ListParagraph"/>
              <w:widowControl w:val="false"/>
              <w:numPr>
                <w:ilvl w:val="0"/>
                <w:numId w:val="8"/>
              </w:numPr>
              <w:suppressAutoHyphens w:val="true"/>
              <w:spacing w:lineRule="auto" w:line="240" w:before="0" w:after="0"/>
              <w:contextualSpacing/>
              <w:jc w:val="start"/>
              <w:rPr>
                <w:rFonts w:ascii="Tahoma" w:hAnsi="Tahoma" w:eastAsia="Times New Roman" w:cs="Tahoma"/>
                <w:sz w:val="20"/>
                <w:szCs w:val="18"/>
                <w:lang w:val="sr-RS" w:eastAsia="sr-Latn-RS"/>
              </w:rPr>
            </w:pPr>
            <w:r>
              <w:rPr>
                <w:rFonts w:eastAsia="Times New Roman" w:cs="Tahoma" w:ascii="Tahoma" w:hAnsi="Tahoma"/>
                <w:kern w:val="2"/>
                <w:sz w:val="20"/>
                <w:szCs w:val="18"/>
                <w:lang w:val="sr-RS" w:eastAsia="sr-Latn-RS" w:bidi="ar-SA"/>
              </w:rPr>
              <w:t>Актери у заједници наводе да постоји недостатак координиране сарадње и размене информација између различитих система у општини.</w:t>
            </w:r>
          </w:p>
          <w:p>
            <w:pPr>
              <w:pStyle w:val="ListParagraph"/>
              <w:widowControl w:val="false"/>
              <w:numPr>
                <w:ilvl w:val="0"/>
                <w:numId w:val="8"/>
              </w:numPr>
              <w:suppressAutoHyphens w:val="true"/>
              <w:spacing w:lineRule="auto" w:line="240" w:before="0" w:after="0"/>
              <w:contextualSpacing/>
              <w:jc w:val="start"/>
              <w:rPr>
                <w:rFonts w:ascii="Tahoma" w:hAnsi="Tahoma" w:eastAsia="Times New Roman" w:cs="Tahoma"/>
                <w:sz w:val="20"/>
                <w:szCs w:val="18"/>
                <w:lang w:val="sr-RS" w:eastAsia="sr-Latn-RS"/>
              </w:rPr>
            </w:pPr>
            <w:r>
              <w:rPr>
                <w:rFonts w:eastAsia="Times New Roman" w:cs="Tahoma" w:ascii="Tahoma" w:hAnsi="Tahoma"/>
                <w:kern w:val="2"/>
                <w:sz w:val="20"/>
                <w:szCs w:val="18"/>
                <w:lang w:val="sr-RS" w:eastAsia="sr-Latn-RS" w:bidi="ar-SA"/>
              </w:rPr>
              <w:t>ЦСР се суочава са недостатком кадрова и финансијских ресурса, са само шест запослених у Одељењу ЦСР, капацитети су ограничени, што посебно погађа сложене и захтевне случајеве.</w:t>
            </w:r>
          </w:p>
          <w:p>
            <w:pPr>
              <w:pStyle w:val="ListParagraph"/>
              <w:widowControl w:val="false"/>
              <w:numPr>
                <w:ilvl w:val="0"/>
                <w:numId w:val="8"/>
              </w:numPr>
              <w:suppressAutoHyphens w:val="true"/>
              <w:spacing w:lineRule="auto" w:line="240" w:before="0" w:after="0"/>
              <w:contextualSpacing/>
              <w:jc w:val="start"/>
              <w:rPr>
                <w:rFonts w:ascii="Tahoma" w:hAnsi="Tahoma" w:eastAsia="Times New Roman" w:cs="Tahoma"/>
                <w:sz w:val="20"/>
                <w:szCs w:val="18"/>
                <w:lang w:val="sr-RS" w:eastAsia="sr-Latn-RS"/>
              </w:rPr>
            </w:pPr>
            <w:r>
              <w:rPr>
                <w:rFonts w:eastAsia="Times New Roman" w:cs="Tahoma" w:ascii="Tahoma" w:hAnsi="Tahoma"/>
                <w:kern w:val="2"/>
                <w:sz w:val="20"/>
                <w:szCs w:val="18"/>
                <w:lang w:val="sr-RS" w:eastAsia="sr-Latn-RS" w:bidi="ar-SA"/>
              </w:rPr>
              <w:t>Просторни капацитети Центра за социјални рад су недовољни и у лошем стању, као и опрема коју запослени користе те их треба обновити и опремити како би се побољшао квалитет услуга.</w:t>
            </w:r>
          </w:p>
          <w:p>
            <w:pPr>
              <w:pStyle w:val="Normal"/>
              <w:widowControl w:val="false"/>
              <w:numPr>
                <w:ilvl w:val="0"/>
                <w:numId w:val="8"/>
              </w:numPr>
              <w:suppressAutoHyphens w:val="true"/>
              <w:spacing w:lineRule="auto" w:line="240" w:before="0" w:after="0"/>
              <w:jc w:val="start"/>
              <w:rPr>
                <w:rFonts w:ascii="Tahoma" w:hAnsi="Tahoma" w:eastAsia="Times New Roman" w:cs="Tahoma"/>
                <w:sz w:val="20"/>
                <w:szCs w:val="18"/>
                <w:lang w:val="sr-Latn-RS" w:eastAsia="sr-Latn-RS"/>
              </w:rPr>
            </w:pPr>
            <w:r>
              <w:rPr>
                <w:rFonts w:eastAsia="Times New Roman" w:cs="Tahoma" w:ascii="Tahoma" w:hAnsi="Tahoma"/>
                <w:bCs/>
                <w:kern w:val="2"/>
                <w:sz w:val="20"/>
                <w:szCs w:val="18"/>
                <w:lang w:val="sr-RS" w:eastAsia="sr-Latn-RS" w:bidi="ar-SA"/>
              </w:rPr>
              <w:t>Недостатак</w:t>
            </w:r>
            <w:r>
              <w:rPr>
                <w:rFonts w:eastAsia="Times New Roman" w:cs="Tahoma" w:ascii="Tahoma" w:hAnsi="Tahoma"/>
                <w:bCs/>
                <w:kern w:val="2"/>
                <w:sz w:val="20"/>
                <w:szCs w:val="18"/>
                <w:lang w:val="sr-Latn-RS" w:eastAsia="sr-Latn-RS" w:bidi="ar-SA"/>
              </w:rPr>
              <w:t xml:space="preserve"> </w:t>
            </w:r>
            <w:r>
              <w:rPr>
                <w:rFonts w:eastAsia="Times New Roman" w:cs="Tahoma" w:ascii="Tahoma" w:hAnsi="Tahoma"/>
                <w:bCs/>
                <w:kern w:val="2"/>
                <w:sz w:val="20"/>
                <w:szCs w:val="18"/>
                <w:lang w:val="sr-RS" w:eastAsia="sr-Latn-RS" w:bidi="ar-SA"/>
              </w:rPr>
              <w:t>кадрова</w:t>
            </w:r>
            <w:r>
              <w:rPr>
                <w:rFonts w:eastAsia="Times New Roman" w:cs="Tahoma" w:ascii="Tahoma" w:hAnsi="Tahoma"/>
                <w:bCs/>
                <w:kern w:val="2"/>
                <w:sz w:val="20"/>
                <w:szCs w:val="18"/>
                <w:lang w:val="sr-Latn-RS" w:eastAsia="sr-Latn-RS" w:bidi="ar-SA"/>
              </w:rPr>
              <w:t xml:space="preserve"> </w:t>
            </w:r>
            <w:r>
              <w:rPr>
                <w:rFonts w:eastAsia="Times New Roman" w:cs="Tahoma" w:ascii="Tahoma" w:hAnsi="Tahoma"/>
                <w:bCs/>
                <w:kern w:val="2"/>
                <w:sz w:val="20"/>
                <w:szCs w:val="18"/>
                <w:lang w:val="sr-RS" w:eastAsia="sr-Latn-RS" w:bidi="ar-SA"/>
              </w:rPr>
              <w:t>и</w:t>
            </w:r>
            <w:r>
              <w:rPr>
                <w:rFonts w:eastAsia="Times New Roman" w:cs="Tahoma" w:ascii="Tahoma" w:hAnsi="Tahoma"/>
                <w:bCs/>
                <w:kern w:val="2"/>
                <w:sz w:val="20"/>
                <w:szCs w:val="18"/>
                <w:lang w:val="sr-Latn-RS" w:eastAsia="sr-Latn-RS" w:bidi="ar-SA"/>
              </w:rPr>
              <w:t xml:space="preserve"> </w:t>
            </w:r>
            <w:r>
              <w:rPr>
                <w:rFonts w:eastAsia="Times New Roman" w:cs="Tahoma" w:ascii="Tahoma" w:hAnsi="Tahoma"/>
                <w:bCs/>
                <w:kern w:val="2"/>
                <w:sz w:val="20"/>
                <w:szCs w:val="18"/>
                <w:lang w:val="sr-RS" w:eastAsia="sr-Latn-RS" w:bidi="ar-SA"/>
              </w:rPr>
              <w:t>ресурса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у општинској управи Беочин – немамо лице запослено на радном месту у ОУ које у опису посла има задатке који се односе искључиво на социјалну заштиту</w:t>
            </w:r>
          </w:p>
          <w:p>
            <w:pPr>
              <w:pStyle w:val="Normal"/>
              <w:widowControl w:val="false"/>
              <w:numPr>
                <w:ilvl w:val="0"/>
                <w:numId w:val="8"/>
              </w:numPr>
              <w:suppressAutoHyphens w:val="true"/>
              <w:spacing w:lineRule="auto" w:line="240" w:before="0" w:after="0"/>
              <w:jc w:val="start"/>
              <w:rPr>
                <w:rFonts w:ascii="Tahoma" w:hAnsi="Tahoma" w:eastAsia="Times New Roman" w:cs="Tahoma"/>
                <w:sz w:val="20"/>
                <w:szCs w:val="18"/>
                <w:lang w:val="sr-Latn-RS" w:eastAsia="sr-Latn-RS"/>
              </w:rPr>
            </w:pPr>
            <w:r>
              <w:rPr>
                <w:rFonts w:eastAsia="Times New Roman" w:cs="Tahoma" w:ascii="Tahoma" w:hAnsi="Tahoma"/>
                <w:kern w:val="2"/>
                <w:sz w:val="20"/>
                <w:szCs w:val="18"/>
                <w:lang w:val="sr-RS" w:eastAsia="sr-Latn-RS" w:bidi="ar-SA"/>
              </w:rPr>
              <w:t>Н</w:t>
            </w:r>
            <w:r>
              <w:rPr>
                <w:rFonts w:eastAsia="Times New Roman" w:cs="Tahoma" w:ascii="Tahoma" w:hAnsi="Tahoma"/>
                <w:kern w:val="2"/>
                <w:sz w:val="20"/>
                <w:szCs w:val="18"/>
                <w:lang w:val="en-US" w:eastAsia="sr-Latn-RS" w:bidi="ar-SA"/>
              </w:rPr>
              <w:t>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територији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ЈЛС</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нема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активног</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цивилног</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сектора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у</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овој</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области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нема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установа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социјалне</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заштите</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осим</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ЦСР</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међусекторска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сарадња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је</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ограничена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на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мали</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број</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актера</w:t>
            </w:r>
            <w:r>
              <w:rPr>
                <w:rFonts w:eastAsia="Times New Roman" w:cs="Tahoma" w:ascii="Tahoma" w:hAnsi="Tahoma"/>
                <w:kern w:val="2"/>
                <w:sz w:val="20"/>
                <w:szCs w:val="18"/>
                <w:lang w:val="sr-Latn-RS" w:eastAsia="sr-Latn-RS" w:bidi="ar-SA"/>
              </w:rPr>
              <w:t>.</w:t>
            </w:r>
          </w:p>
          <w:p>
            <w:pPr>
              <w:pStyle w:val="ListParagraph"/>
              <w:widowControl w:val="false"/>
              <w:numPr>
                <w:ilvl w:val="0"/>
                <w:numId w:val="8"/>
              </w:numPr>
              <w:suppressAutoHyphens w:val="true"/>
              <w:spacing w:lineRule="auto" w:line="240" w:before="0" w:after="0"/>
              <w:contextualSpacing/>
              <w:jc w:val="start"/>
              <w:rPr>
                <w:rFonts w:ascii="Tahoma" w:hAnsi="Tahoma" w:eastAsia="Times New Roman" w:cs="Tahoma"/>
                <w:sz w:val="20"/>
                <w:szCs w:val="18"/>
                <w:lang w:val="sr-RS" w:eastAsia="sr-Latn-RS"/>
              </w:rPr>
            </w:pPr>
            <w:r>
              <w:rPr>
                <w:rFonts w:eastAsia="Times New Roman" w:cs="Tahoma" w:ascii="Tahoma" w:hAnsi="Tahoma"/>
                <w:kern w:val="2"/>
                <w:sz w:val="20"/>
                <w:szCs w:val="18"/>
                <w:lang w:val="en-US" w:eastAsia="sr-Latn-RS" w:bidi="ar-SA"/>
              </w:rPr>
              <w:t>Постојећ</w:t>
            </w:r>
            <w:r>
              <w:rPr>
                <w:rFonts w:eastAsia="Times New Roman" w:cs="Tahoma" w:ascii="Tahoma" w:hAnsi="Tahoma"/>
                <w:kern w:val="2"/>
                <w:sz w:val="20"/>
                <w:szCs w:val="18"/>
                <w:lang w:val="sr-RS" w:eastAsia="sr-Latn-RS" w:bidi="ar-SA"/>
              </w:rPr>
              <w:t xml:space="preserve">а права и услуге </w:t>
            </w:r>
            <w:r>
              <w:rPr>
                <w:rFonts w:eastAsia="Times New Roman" w:cs="Tahoma" w:ascii="Tahoma" w:hAnsi="Tahoma"/>
                <w:kern w:val="2"/>
                <w:sz w:val="20"/>
                <w:szCs w:val="18"/>
                <w:lang w:val="en-US" w:eastAsia="sr-Latn-RS" w:bidi="ar-SA"/>
              </w:rPr>
              <w:t>се</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финансирају</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sr-RS" w:eastAsia="sr-Latn-RS" w:bidi="ar-SA"/>
              </w:rPr>
              <w:t>искључиво из</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средстава</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локалне</w:t>
            </w:r>
            <w:r>
              <w:rPr>
                <w:rFonts w:eastAsia="Times New Roman" w:cs="Tahoma" w:ascii="Tahoma" w:hAnsi="Tahoma"/>
                <w:kern w:val="2"/>
                <w:sz w:val="20"/>
                <w:szCs w:val="18"/>
                <w:lang w:val="sr-Latn-RS" w:eastAsia="sr-Latn-RS" w:bidi="ar-SA"/>
              </w:rPr>
              <w:t xml:space="preserve"> </w:t>
            </w:r>
            <w:r>
              <w:rPr>
                <w:rFonts w:eastAsia="Times New Roman" w:cs="Tahoma" w:ascii="Tahoma" w:hAnsi="Tahoma"/>
                <w:kern w:val="2"/>
                <w:sz w:val="20"/>
                <w:szCs w:val="18"/>
                <w:lang w:val="en-US" w:eastAsia="sr-Latn-RS" w:bidi="ar-SA"/>
              </w:rPr>
              <w:t>самоуправе</w:t>
            </w:r>
            <w:r>
              <w:rPr>
                <w:rFonts w:eastAsia="Times New Roman" w:cs="Tahoma" w:ascii="Tahoma" w:hAnsi="Tahoma"/>
                <w:kern w:val="2"/>
                <w:sz w:val="20"/>
                <w:szCs w:val="18"/>
                <w:lang w:val="sr-RS" w:eastAsia="sr-Latn-RS" w:bidi="ar-SA"/>
              </w:rPr>
              <w:t>, о</w:t>
            </w:r>
            <w:r>
              <w:rPr>
                <w:rFonts w:eastAsia="Calibri" w:cs="Tahoma" w:ascii="Tahoma" w:hAnsi="Tahoma"/>
                <w:iCs/>
                <w:kern w:val="2"/>
                <w:sz w:val="20"/>
                <w:szCs w:val="18"/>
                <w:lang w:val="sr-RS" w:eastAsia="en-US" w:bidi="ar-SA"/>
              </w:rPr>
              <w:t>пштина не користи наменске трансфере у социјалној заштити</w:t>
            </w:r>
          </w:p>
          <w:p>
            <w:pPr>
              <w:pStyle w:val="ListParagraph"/>
              <w:widowControl w:val="false"/>
              <w:numPr>
                <w:ilvl w:val="0"/>
                <w:numId w:val="8"/>
              </w:numPr>
              <w:suppressAutoHyphens w:val="true"/>
              <w:spacing w:lineRule="auto" w:line="240" w:before="0" w:after="0"/>
              <w:contextualSpacing/>
              <w:jc w:val="start"/>
              <w:rPr>
                <w:rFonts w:ascii="Tahoma" w:hAnsi="Tahoma" w:eastAsia="Times New Roman" w:cs="Tahoma"/>
                <w:sz w:val="20"/>
                <w:szCs w:val="18"/>
                <w:lang w:val="sr-Latn-RS" w:eastAsia="sr-Latn-RS"/>
              </w:rPr>
            </w:pPr>
            <w:r>
              <w:rPr>
                <w:rFonts w:eastAsia="Times New Roman" w:cs="Tahoma" w:ascii="Tahoma" w:hAnsi="Tahoma"/>
                <w:kern w:val="2"/>
                <w:sz w:val="20"/>
                <w:szCs w:val="18"/>
                <w:lang w:val="sr-RS" w:eastAsia="sr-Latn-RS" w:bidi="ar-SA"/>
              </w:rPr>
              <w:t>В</w:t>
            </w:r>
            <w:r>
              <w:rPr>
                <w:rFonts w:eastAsia="Times New Roman" w:cs="Tahoma" w:ascii="Tahoma" w:hAnsi="Tahoma"/>
                <w:kern w:val="2"/>
                <w:sz w:val="20"/>
                <w:szCs w:val="18"/>
                <w:lang w:val="sr-Latn-RS" w:eastAsia="sr-Latn-RS" w:bidi="ar-SA"/>
              </w:rPr>
              <w:t xml:space="preserve">исок </w:t>
            </w:r>
            <w:r>
              <w:rPr>
                <w:rFonts w:eastAsia="Times New Roman" w:cs="Tahoma" w:ascii="Tahoma" w:hAnsi="Tahoma"/>
                <w:kern w:val="2"/>
                <w:sz w:val="20"/>
                <w:szCs w:val="18"/>
                <w:lang w:val="sr-RS" w:eastAsia="sr-Latn-RS" w:bidi="ar-SA"/>
              </w:rPr>
              <w:t>удео</w:t>
            </w:r>
            <w:r>
              <w:rPr>
                <w:rFonts w:eastAsia="Times New Roman" w:cs="Tahoma" w:ascii="Tahoma" w:hAnsi="Tahoma"/>
                <w:kern w:val="2"/>
                <w:sz w:val="20"/>
                <w:szCs w:val="18"/>
                <w:lang w:val="sr-Latn-RS" w:eastAsia="sr-Latn-RS" w:bidi="ar-SA"/>
              </w:rPr>
              <w:t xml:space="preserve"> деце и младих са проблемима у понашању</w:t>
            </w:r>
            <w:r>
              <w:rPr>
                <w:rFonts w:eastAsia="Times New Roman" w:cs="Tahoma" w:ascii="Tahoma" w:hAnsi="Tahoma"/>
                <w:kern w:val="2"/>
                <w:sz w:val="20"/>
                <w:szCs w:val="18"/>
                <w:lang w:val="sr-RS" w:eastAsia="sr-Latn-RS" w:bidi="ar-SA"/>
              </w:rPr>
              <w:t xml:space="preserve"> у укупном броју деце и младих на евиденцији ЦСР</w:t>
            </w:r>
          </w:p>
          <w:p>
            <w:pPr>
              <w:pStyle w:val="ListParagraph"/>
              <w:widowControl w:val="false"/>
              <w:numPr>
                <w:ilvl w:val="0"/>
                <w:numId w:val="8"/>
              </w:numPr>
              <w:suppressAutoHyphens w:val="true"/>
              <w:spacing w:lineRule="auto" w:line="240" w:before="0" w:after="0"/>
              <w:contextualSpacing/>
              <w:jc w:val="start"/>
              <w:rPr>
                <w:rFonts w:ascii="Tahoma" w:hAnsi="Tahoma" w:eastAsia="Times New Roman" w:cs="Tahoma"/>
                <w:sz w:val="20"/>
                <w:szCs w:val="18"/>
                <w:lang w:val="sr-Latn-RS" w:eastAsia="sr-Latn-RS"/>
              </w:rPr>
            </w:pPr>
            <w:r>
              <w:rPr>
                <w:rFonts w:eastAsia="Times New Roman" w:cs="Tahoma" w:ascii="Tahoma" w:hAnsi="Tahoma"/>
                <w:kern w:val="2"/>
                <w:sz w:val="20"/>
                <w:szCs w:val="18"/>
                <w:lang w:val="sr-RS" w:eastAsia="sr-Latn-RS" w:bidi="ar-SA"/>
              </w:rPr>
              <w:t>В</w:t>
            </w:r>
            <w:r>
              <w:rPr>
                <w:rFonts w:eastAsia="Times New Roman" w:cs="Tahoma" w:ascii="Tahoma" w:hAnsi="Tahoma"/>
                <w:kern w:val="2"/>
                <w:sz w:val="20"/>
                <w:szCs w:val="18"/>
                <w:lang w:val="sr-Latn-RS" w:eastAsia="sr-Latn-RS" w:bidi="ar-SA"/>
              </w:rPr>
              <w:t>елик број пријава партнерског и вршњачког насиља,</w:t>
            </w:r>
          </w:p>
          <w:p>
            <w:pPr>
              <w:pStyle w:val="ListParagraph"/>
              <w:widowControl w:val="false"/>
              <w:numPr>
                <w:ilvl w:val="0"/>
                <w:numId w:val="8"/>
              </w:numPr>
              <w:suppressAutoHyphens w:val="true"/>
              <w:spacing w:lineRule="auto" w:line="240" w:before="0" w:after="0"/>
              <w:contextualSpacing/>
              <w:jc w:val="start"/>
              <w:rPr>
                <w:rFonts w:ascii="Tahoma" w:hAnsi="Tahoma" w:eastAsia="Times New Roman" w:cs="Tahoma"/>
                <w:sz w:val="20"/>
                <w:szCs w:val="18"/>
                <w:lang w:val="sr-Latn-RS" w:eastAsia="sr-Latn-RS"/>
              </w:rPr>
            </w:pPr>
            <w:r>
              <w:rPr>
                <w:rFonts w:eastAsia="Times New Roman" w:cs="Tahoma" w:ascii="Tahoma" w:hAnsi="Tahoma"/>
                <w:kern w:val="2"/>
                <w:sz w:val="20"/>
                <w:szCs w:val="18"/>
                <w:lang w:val="sr-RS" w:eastAsia="sr-Latn-RS" w:bidi="ar-SA"/>
              </w:rPr>
              <w:t>В</w:t>
            </w:r>
            <w:r>
              <w:rPr>
                <w:rFonts w:eastAsia="Times New Roman" w:cs="Tahoma" w:ascii="Tahoma" w:hAnsi="Tahoma"/>
                <w:kern w:val="2"/>
                <w:sz w:val="20"/>
                <w:szCs w:val="18"/>
                <w:lang w:val="sr-Latn-RS" w:eastAsia="sr-Latn-RS" w:bidi="ar-SA"/>
              </w:rPr>
              <w:t>елик број старих без подршке породице,</w:t>
            </w:r>
          </w:p>
          <w:p>
            <w:pPr>
              <w:pStyle w:val="ListParagraph"/>
              <w:widowControl w:val="false"/>
              <w:numPr>
                <w:ilvl w:val="0"/>
                <w:numId w:val="8"/>
              </w:numPr>
              <w:suppressAutoHyphens w:val="true"/>
              <w:spacing w:lineRule="auto" w:line="240" w:before="0" w:after="0"/>
              <w:contextualSpacing/>
              <w:jc w:val="start"/>
              <w:rPr>
                <w:rFonts w:ascii="Tahoma" w:hAnsi="Tahoma" w:eastAsia="Times New Roman" w:cs="Tahoma"/>
                <w:sz w:val="20"/>
                <w:szCs w:val="18"/>
                <w:lang w:val="sr-Latn-RS" w:eastAsia="sr-Latn-RS"/>
              </w:rPr>
            </w:pPr>
            <w:r>
              <w:rPr>
                <w:rFonts w:eastAsia="Times New Roman" w:cs="Tahoma" w:ascii="Tahoma" w:hAnsi="Tahoma"/>
                <w:kern w:val="2"/>
                <w:sz w:val="20"/>
                <w:szCs w:val="18"/>
                <w:lang w:val="sr-RS" w:eastAsia="sr-Latn-RS" w:bidi="ar-SA"/>
              </w:rPr>
              <w:t>С</w:t>
            </w:r>
            <w:r>
              <w:rPr>
                <w:rFonts w:eastAsia="Times New Roman" w:cs="Tahoma" w:ascii="Tahoma" w:hAnsi="Tahoma"/>
                <w:kern w:val="2"/>
                <w:sz w:val="20"/>
                <w:szCs w:val="18"/>
                <w:lang w:val="sr-Latn-RS" w:eastAsia="sr-Latn-RS" w:bidi="ar-SA"/>
              </w:rPr>
              <w:t>иромаштво.</w:t>
            </w:r>
          </w:p>
          <w:p>
            <w:pPr>
              <w:pStyle w:val="Normal"/>
              <w:widowControl w:val="false"/>
              <w:suppressAutoHyphens w:val="true"/>
              <w:spacing w:lineRule="auto" w:line="240" w:before="0" w:after="0"/>
              <w:ind w:start="342" w:hanging="0"/>
              <w:jc w:val="start"/>
              <w:rPr>
                <w:rFonts w:ascii="Tahoma" w:hAnsi="Tahoma" w:eastAsia="Times New Roman" w:cs="Tahoma"/>
                <w:sz w:val="20"/>
                <w:szCs w:val="18"/>
                <w:lang w:val="sr-RS" w:eastAsia="sr-Latn-RS"/>
              </w:rPr>
            </w:pPr>
            <w:r>
              <w:rPr>
                <w:rFonts w:eastAsia="Times New Roman" w:cs="Tahoma" w:ascii="Tahoma" w:hAnsi="Tahoma"/>
                <w:sz w:val="20"/>
                <w:szCs w:val="18"/>
                <w:lang w:val="sr-RS" w:eastAsia="sr-Latn-RS"/>
              </w:rPr>
            </w:r>
          </w:p>
        </w:tc>
      </w:tr>
      <w:tr>
        <w:trPr/>
        <w:tc>
          <w:tcPr>
            <w:tcW w:w="4820" w:type="dxa"/>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sz w:val="20"/>
                <w:szCs w:val="18"/>
                <w:lang w:eastAsia="sr-Latn-RS"/>
              </w:rPr>
            </w:pPr>
            <w:r>
              <w:rPr>
                <w:rFonts w:eastAsia="Times New Roman" w:cs="Tahoma" w:ascii="Tahoma" w:hAnsi="Tahoma"/>
                <w:b/>
                <w:bCs/>
                <w:kern w:val="2"/>
                <w:sz w:val="20"/>
                <w:szCs w:val="18"/>
                <w:lang w:val="en-US" w:eastAsia="sr-Latn-RS" w:bidi="ar-SA"/>
              </w:rPr>
              <w:t>ПРИЛИКЕ</w:t>
            </w:r>
          </w:p>
          <w:p>
            <w:pPr>
              <w:pStyle w:val="Normal"/>
              <w:widowControl w:val="false"/>
              <w:suppressAutoHyphens w:val="true"/>
              <w:spacing w:lineRule="auto" w:line="240" w:before="0" w:after="0"/>
              <w:jc w:val="start"/>
              <w:rPr>
                <w:rFonts w:ascii="Tahoma" w:hAnsi="Tahoma" w:eastAsia="Times New Roman" w:cs="Tahoma"/>
                <w:sz w:val="20"/>
                <w:szCs w:val="18"/>
                <w:lang w:eastAsia="sr-Latn-RS"/>
              </w:rPr>
            </w:pPr>
            <w:r>
              <w:rPr>
                <w:rFonts w:eastAsia="Times New Roman" w:cs="Tahoma" w:ascii="Tahoma" w:hAnsi="Tahoma"/>
                <w:sz w:val="20"/>
                <w:szCs w:val="18"/>
                <w:lang w:eastAsia="sr-Latn-RS"/>
              </w:rPr>
            </w:r>
          </w:p>
        </w:tc>
        <w:tc>
          <w:tcPr>
            <w:tcW w:w="5527" w:type="dxa"/>
            <w:tcBorders/>
            <w:shd w:color="auto" w:fill="D9E2F3" w:themeFill="accent1" w:themeFillTint="33" w:val="clear"/>
          </w:tcPr>
          <w:p>
            <w:pPr>
              <w:pStyle w:val="Normal"/>
              <w:widowControl w:val="false"/>
              <w:suppressAutoHyphens w:val="true"/>
              <w:spacing w:lineRule="auto" w:line="240" w:before="0" w:after="0"/>
              <w:jc w:val="start"/>
              <w:rPr>
                <w:rFonts w:ascii="Tahoma" w:hAnsi="Tahoma" w:eastAsia="Times New Roman" w:cs="Tahoma"/>
                <w:sz w:val="20"/>
                <w:szCs w:val="18"/>
                <w:lang w:eastAsia="sr-Latn-RS"/>
              </w:rPr>
            </w:pPr>
            <w:r>
              <w:rPr>
                <w:rFonts w:eastAsia="Times New Roman" w:cs="Tahoma" w:ascii="Tahoma" w:hAnsi="Tahoma"/>
                <w:b/>
                <w:bCs/>
                <w:kern w:val="2"/>
                <w:sz w:val="20"/>
                <w:szCs w:val="18"/>
                <w:lang w:val="en-US" w:eastAsia="sr-Latn-RS" w:bidi="ar-SA"/>
              </w:rPr>
              <w:t>ПРЕТЊЕ</w:t>
            </w:r>
          </w:p>
        </w:tc>
      </w:tr>
      <w:tr>
        <w:trPr/>
        <w:tc>
          <w:tcPr>
            <w:tcW w:w="4820" w:type="dxa"/>
            <w:tcBorders/>
          </w:tcPr>
          <w:p>
            <w:pPr>
              <w:pStyle w:val="Normal"/>
              <w:widowControl w:val="false"/>
              <w:numPr>
                <w:ilvl w:val="0"/>
                <w:numId w:val="9"/>
              </w:numPr>
              <w:suppressAutoHyphens w:val="true"/>
              <w:spacing w:lineRule="auto" w:line="240" w:before="0" w:after="0"/>
              <w:ind w:start="316" w:hanging="360"/>
              <w:jc w:val="start"/>
              <w:rPr>
                <w:rFonts w:ascii="Tahoma" w:hAnsi="Tahoma" w:eastAsia="Times New Roman" w:cs="Tahoma"/>
                <w:sz w:val="20"/>
                <w:szCs w:val="18"/>
                <w:u w:val="single"/>
                <w:lang w:eastAsia="sr-Latn-RS"/>
              </w:rPr>
            </w:pPr>
            <w:r>
              <w:rPr>
                <w:rFonts w:eastAsia="Times New Roman" w:cs="Tahoma" w:ascii="Tahoma" w:hAnsi="Tahoma"/>
                <w:bCs/>
                <w:kern w:val="2"/>
                <w:sz w:val="20"/>
                <w:szCs w:val="18"/>
                <w:lang w:val="en-US" w:eastAsia="sr-Latn-RS" w:bidi="ar-SA"/>
              </w:rPr>
              <w:t>Повећање финансијске подршке кроз наменске трансфере</w:t>
            </w:r>
            <w:r>
              <w:rPr>
                <w:rFonts w:eastAsia="Times New Roman" w:cs="Tahoma" w:ascii="Tahoma" w:hAnsi="Tahoma"/>
                <w:kern w:val="2"/>
                <w:sz w:val="20"/>
                <w:szCs w:val="18"/>
                <w:lang w:val="en-US" w:eastAsia="sr-Latn-RS" w:bidi="ar-SA"/>
              </w:rPr>
              <w:t xml:space="preserve"> - Постоји потенцијал за побољшање финансирања социјалних услуга кроз наменске трансфере са републичког и покрајинског нивоа​</w:t>
            </w:r>
            <w:r>
              <w:rPr>
                <w:rFonts w:eastAsia="Times New Roman" w:cs="Tahoma" w:ascii="Tahoma" w:hAnsi="Tahoma"/>
                <w:kern w:val="2"/>
                <w:sz w:val="20"/>
                <w:szCs w:val="18"/>
                <w:lang w:val="sr-RS" w:eastAsia="sr-Latn-RS" w:bidi="ar-SA"/>
              </w:rPr>
              <w:t xml:space="preserve">, под условом да </w:t>
            </w:r>
            <w:r>
              <w:rPr>
                <w:rFonts w:eastAsia="Times New Roman" w:cs="Tahoma" w:ascii="Tahoma" w:hAnsi="Tahoma"/>
                <w:kern w:val="2"/>
                <w:sz w:val="20"/>
                <w:szCs w:val="18"/>
                <w:u w:val="single"/>
                <w:lang w:val="sr-RS" w:eastAsia="sr-Latn-RS" w:bidi="ar-SA"/>
              </w:rPr>
              <w:t>се ажурира Уредба у скоријем року</w:t>
            </w:r>
          </w:p>
          <w:p>
            <w:pPr>
              <w:pStyle w:val="Normal"/>
              <w:widowControl w:val="false"/>
              <w:numPr>
                <w:ilvl w:val="0"/>
                <w:numId w:val="9"/>
              </w:numPr>
              <w:suppressAutoHyphens w:val="true"/>
              <w:spacing w:lineRule="auto" w:line="240" w:before="0" w:after="0"/>
              <w:ind w:start="316" w:hanging="360"/>
              <w:jc w:val="start"/>
              <w:rPr>
                <w:rFonts w:ascii="Tahoma" w:hAnsi="Tahoma" w:eastAsia="Times New Roman" w:cs="Tahoma"/>
                <w:sz w:val="20"/>
                <w:szCs w:val="18"/>
                <w:lang w:eastAsia="sr-Latn-RS"/>
              </w:rPr>
            </w:pPr>
            <w:r>
              <w:rPr>
                <w:rFonts w:eastAsia="Times New Roman" w:cs="Tahoma" w:ascii="Tahoma" w:hAnsi="Tahoma"/>
                <w:bCs/>
                <w:kern w:val="2"/>
                <w:sz w:val="20"/>
                <w:szCs w:val="18"/>
                <w:lang w:val="sr-RS" w:eastAsia="sr-Latn-RS" w:bidi="ar-SA"/>
              </w:rPr>
              <w:t>Кад су у питању кадрови за ЦСР и ОУ, универзитетско образовање у НС</w:t>
            </w:r>
            <w:r>
              <w:rPr>
                <w:rFonts w:eastAsia="Times New Roman" w:cs="Tahoma" w:ascii="Tahoma" w:hAnsi="Tahoma"/>
                <w:kern w:val="2"/>
                <w:sz w:val="20"/>
                <w:szCs w:val="18"/>
                <w:lang w:val="en-US" w:eastAsia="sr-Latn-RS" w:bidi="ar-SA"/>
              </w:rPr>
              <w:t>-</w:t>
            </w:r>
            <w:r>
              <w:rPr>
                <w:rFonts w:eastAsia="Times New Roman" w:cs="Tahoma" w:ascii="Tahoma" w:hAnsi="Tahoma"/>
                <w:kern w:val="2"/>
                <w:sz w:val="20"/>
                <w:szCs w:val="18"/>
                <w:lang w:val="sr-RS" w:eastAsia="sr-Latn-RS" w:bidi="ar-SA"/>
              </w:rPr>
              <w:t xml:space="preserve"> катедра за социјални рад</w:t>
            </w:r>
          </w:p>
          <w:p>
            <w:pPr>
              <w:pStyle w:val="Normal"/>
              <w:widowControl w:val="false"/>
              <w:numPr>
                <w:ilvl w:val="0"/>
                <w:numId w:val="9"/>
              </w:numPr>
              <w:suppressAutoHyphens w:val="true"/>
              <w:spacing w:lineRule="auto" w:line="240" w:before="0" w:after="0"/>
              <w:ind w:start="316" w:hanging="360"/>
              <w:jc w:val="start"/>
              <w:rPr>
                <w:rFonts w:ascii="Tahoma" w:hAnsi="Tahoma" w:eastAsia="Times New Roman" w:cs="Tahoma"/>
                <w:i/>
                <w:i/>
                <w:sz w:val="20"/>
                <w:szCs w:val="18"/>
                <w:lang w:eastAsia="sr-Latn-RS"/>
              </w:rPr>
            </w:pPr>
            <w:r>
              <w:rPr>
                <w:rFonts w:eastAsia="Times New Roman" w:cs="Tahoma" w:ascii="Tahoma" w:hAnsi="Tahoma"/>
                <w:bCs/>
                <w:kern w:val="2"/>
                <w:sz w:val="20"/>
                <w:szCs w:val="18"/>
                <w:lang w:val="en-US" w:eastAsia="sr-Latn-RS" w:bidi="ar-SA"/>
              </w:rPr>
              <w:t>Институционална сарадња и међуопштинска сарадња</w:t>
            </w:r>
            <w:r>
              <w:rPr>
                <w:rFonts w:eastAsia="Times New Roman" w:cs="Tahoma" w:ascii="Tahoma" w:hAnsi="Tahoma"/>
                <w:kern w:val="2"/>
                <w:sz w:val="20"/>
                <w:szCs w:val="18"/>
                <w:lang w:val="en-US" w:eastAsia="sr-Latn-RS" w:bidi="ar-SA"/>
              </w:rPr>
              <w:t xml:space="preserve"> - Постоје могућности за унапређење услуга путем сарадње са Градом Новим Садом и другим локалним самоуправама</w:t>
            </w:r>
          </w:p>
          <w:p>
            <w:pPr>
              <w:pStyle w:val="Normal"/>
              <w:widowControl w:val="false"/>
              <w:numPr>
                <w:ilvl w:val="0"/>
                <w:numId w:val="9"/>
              </w:numPr>
              <w:suppressAutoHyphens w:val="true"/>
              <w:spacing w:lineRule="auto" w:line="259" w:before="0" w:after="160"/>
              <w:ind w:start="316" w:hanging="360"/>
              <w:jc w:val="start"/>
              <w:rPr>
                <w:rFonts w:ascii="Tahoma" w:hAnsi="Tahoma" w:eastAsia="Times New Roman" w:cs="Tahoma"/>
                <w:sz w:val="20"/>
                <w:szCs w:val="18"/>
                <w:lang w:eastAsia="sr-Latn-RS"/>
              </w:rPr>
            </w:pPr>
            <w:r>
              <w:rPr>
                <w:rFonts w:eastAsia="Times New Roman" w:cs="Tahoma" w:ascii="Tahoma" w:hAnsi="Tahoma"/>
                <w:bCs/>
                <w:kern w:val="2"/>
                <w:sz w:val="20"/>
                <w:szCs w:val="18"/>
                <w:lang w:val="en-US" w:eastAsia="sr-Latn-RS" w:bidi="ar-SA"/>
              </w:rPr>
              <w:t>Оснивање Центра за социјални рад</w:t>
            </w:r>
            <w:r>
              <w:rPr>
                <w:rFonts w:eastAsia="Times New Roman" w:cs="Tahoma" w:ascii="Tahoma" w:hAnsi="Tahoma"/>
                <w:kern w:val="2"/>
                <w:sz w:val="20"/>
                <w:szCs w:val="18"/>
                <w:lang w:val="en-US" w:eastAsia="sr-Latn-RS" w:bidi="ar-SA"/>
              </w:rPr>
              <w:t xml:space="preserve"> - Планирано је оснивање Центра за социјални рад у општини до 2030. године, што би значајно повећало ефикасност пружања услуга и омогућило директнији приступ корисницима</w:t>
            </w:r>
            <w:r>
              <w:rPr>
                <w:rFonts w:eastAsia="Times New Roman" w:cs="Tahoma" w:ascii="Tahoma" w:hAnsi="Tahoma"/>
                <w:kern w:val="2"/>
                <w:sz w:val="20"/>
                <w:szCs w:val="18"/>
                <w:lang w:val="sr-RS" w:eastAsia="sr-Latn-RS" w:bidi="ar-SA"/>
              </w:rPr>
              <w:t xml:space="preserve"> – шта е повољност кад је у питању ова мера</w:t>
            </w:r>
          </w:p>
          <w:p>
            <w:pPr>
              <w:pStyle w:val="Normal"/>
              <w:widowControl w:val="false"/>
              <w:suppressAutoHyphens w:val="true"/>
              <w:spacing w:lineRule="auto" w:line="240" w:before="0" w:after="0"/>
              <w:ind w:start="-44" w:hanging="0"/>
              <w:jc w:val="start"/>
              <w:rPr>
                <w:rFonts w:ascii="Tahoma" w:hAnsi="Tahoma" w:eastAsia="Times New Roman" w:cs="Tahoma"/>
                <w:sz w:val="20"/>
                <w:szCs w:val="18"/>
                <w:u w:val="single"/>
                <w:lang w:eastAsia="sr-Latn-RS"/>
              </w:rPr>
            </w:pPr>
            <w:r>
              <w:rPr>
                <w:rFonts w:eastAsia="Times New Roman" w:cs="Tahoma" w:ascii="Tahoma" w:hAnsi="Tahoma"/>
                <w:sz w:val="20"/>
                <w:szCs w:val="18"/>
                <w:u w:val="single"/>
                <w:lang w:eastAsia="sr-Latn-RS"/>
              </w:rPr>
            </w:r>
          </w:p>
          <w:p>
            <w:pPr>
              <w:pStyle w:val="Normal"/>
              <w:widowControl w:val="false"/>
              <w:suppressAutoHyphens w:val="true"/>
              <w:spacing w:lineRule="auto" w:line="240" w:before="0" w:after="0"/>
              <w:ind w:start="316" w:hanging="0"/>
              <w:jc w:val="start"/>
              <w:rPr>
                <w:rFonts w:ascii="Tahoma" w:hAnsi="Tahoma" w:eastAsia="Times New Roman" w:cs="Tahoma"/>
                <w:sz w:val="20"/>
                <w:szCs w:val="18"/>
                <w:lang w:eastAsia="sr-Latn-RS"/>
              </w:rPr>
            </w:pPr>
            <w:r>
              <w:rPr>
                <w:rFonts w:eastAsia="Times New Roman" w:cs="Tahoma" w:ascii="Tahoma" w:hAnsi="Tahoma"/>
                <w:sz w:val="20"/>
                <w:szCs w:val="18"/>
                <w:lang w:eastAsia="sr-Latn-RS"/>
              </w:rPr>
            </w:r>
          </w:p>
        </w:tc>
        <w:tc>
          <w:tcPr>
            <w:tcW w:w="5527" w:type="dxa"/>
            <w:tcBorders/>
          </w:tcPr>
          <w:p>
            <w:pPr>
              <w:pStyle w:val="Normal"/>
              <w:widowControl w:val="false"/>
              <w:numPr>
                <w:ilvl w:val="0"/>
                <w:numId w:val="9"/>
              </w:numPr>
              <w:suppressAutoHyphens w:val="true"/>
              <w:spacing w:lineRule="auto" w:line="240" w:before="0" w:after="0"/>
              <w:ind w:start="342" w:hanging="360"/>
              <w:jc w:val="start"/>
              <w:rPr>
                <w:rFonts w:ascii="Tahoma" w:hAnsi="Tahoma" w:eastAsia="Times New Roman" w:cs="Tahoma"/>
                <w:sz w:val="20"/>
                <w:szCs w:val="18"/>
                <w:lang w:eastAsia="sr-Latn-RS"/>
              </w:rPr>
            </w:pPr>
            <w:r>
              <w:rPr>
                <w:rFonts w:eastAsia="Times New Roman" w:cs="Tahoma" w:ascii="Tahoma" w:hAnsi="Tahoma"/>
                <w:bCs/>
                <w:kern w:val="2"/>
                <w:sz w:val="20"/>
                <w:szCs w:val="18"/>
                <w:lang w:val="en-US" w:eastAsia="sr-Latn-RS" w:bidi="ar-SA"/>
              </w:rPr>
              <w:t>Неповољни демографски трендови</w:t>
            </w:r>
            <w:r>
              <w:rPr>
                <w:rFonts w:eastAsia="Times New Roman" w:cs="Tahoma" w:ascii="Tahoma" w:hAnsi="Tahoma"/>
                <w:kern w:val="2"/>
                <w:sz w:val="20"/>
                <w:szCs w:val="18"/>
                <w:lang w:val="en-US" w:eastAsia="sr-Latn-RS" w:bidi="ar-SA"/>
              </w:rPr>
              <w:t xml:space="preserve"> - Општина Беочин се суочава са демографским проблемима као што су старење становништва, негативан природни прираштај и депопулација, што ствара додатне изазове за социјални систем​</w:t>
            </w:r>
          </w:p>
          <w:p>
            <w:pPr>
              <w:pStyle w:val="Normal"/>
              <w:widowControl w:val="false"/>
              <w:numPr>
                <w:ilvl w:val="0"/>
                <w:numId w:val="9"/>
              </w:numPr>
              <w:suppressAutoHyphens w:val="true"/>
              <w:spacing w:lineRule="auto" w:line="240" w:before="0" w:after="0"/>
              <w:ind w:start="342" w:hanging="360"/>
              <w:jc w:val="start"/>
              <w:rPr>
                <w:rFonts w:ascii="Tahoma" w:hAnsi="Tahoma" w:eastAsia="Times New Roman" w:cs="Tahoma"/>
                <w:sz w:val="20"/>
                <w:szCs w:val="18"/>
                <w:lang w:eastAsia="sr-Latn-RS"/>
              </w:rPr>
            </w:pPr>
            <w:r>
              <w:rPr>
                <w:rFonts w:eastAsia="Times New Roman" w:cs="Tahoma" w:ascii="Tahoma" w:hAnsi="Tahoma"/>
                <w:bCs/>
                <w:kern w:val="2"/>
                <w:sz w:val="20"/>
                <w:szCs w:val="18"/>
                <w:lang w:val="en-US" w:eastAsia="sr-Latn-RS" w:bidi="ar-SA"/>
              </w:rPr>
              <w:t>Недовољно интегрисане услуге</w:t>
            </w:r>
            <w:r>
              <w:rPr>
                <w:rFonts w:eastAsia="Times New Roman" w:cs="Tahoma" w:ascii="Tahoma" w:hAnsi="Tahoma"/>
                <w:kern w:val="2"/>
                <w:sz w:val="20"/>
                <w:szCs w:val="18"/>
                <w:lang w:val="en-US" w:eastAsia="sr-Latn-RS" w:bidi="ar-SA"/>
              </w:rPr>
              <w:t xml:space="preserve"> - Недостатак координације између различитих пружалаца услуга и сектори који делују у оквиру социјалне заштите ограничавају ефикасност система и доступност услуга за крајње кориснике</w:t>
            </w:r>
          </w:p>
          <w:p>
            <w:pPr>
              <w:pStyle w:val="Normal"/>
              <w:widowControl w:val="false"/>
              <w:numPr>
                <w:ilvl w:val="0"/>
                <w:numId w:val="9"/>
              </w:numPr>
              <w:suppressAutoHyphens w:val="true"/>
              <w:spacing w:lineRule="auto" w:line="240" w:before="0" w:after="0"/>
              <w:ind w:start="342" w:hanging="360"/>
              <w:jc w:val="start"/>
              <w:rPr>
                <w:rFonts w:ascii="Tahoma" w:hAnsi="Tahoma" w:cs="Tahoma"/>
                <w:sz w:val="20"/>
                <w:szCs w:val="18"/>
              </w:rPr>
            </w:pPr>
            <w:r>
              <w:rPr>
                <w:rFonts w:eastAsia="Times New Roman" w:cs="Tahoma" w:ascii="Tahoma" w:hAnsi="Tahoma"/>
                <w:bCs/>
                <w:kern w:val="2"/>
                <w:sz w:val="20"/>
                <w:szCs w:val="18"/>
                <w:lang w:val="en-US" w:eastAsia="sr-Latn-RS" w:bidi="ar-SA"/>
              </w:rPr>
              <w:t>Економска нестабилност</w:t>
            </w:r>
            <w:r>
              <w:rPr>
                <w:rFonts w:eastAsia="Times New Roman" w:cs="Tahoma" w:ascii="Tahoma" w:hAnsi="Tahoma"/>
                <w:kern w:val="2"/>
                <w:sz w:val="20"/>
                <w:szCs w:val="18"/>
                <w:lang w:val="en-US" w:eastAsia="sr-Latn-RS" w:bidi="ar-SA"/>
              </w:rPr>
              <w:t xml:space="preserve"> - Постоји стална претња економске нестабилности која утиче на финансирање социјалне заштите на локалном нивоу, што може додатно погоршати квалитет услуга​</w:t>
            </w:r>
          </w:p>
          <w:p>
            <w:pPr>
              <w:pStyle w:val="Normal"/>
              <w:widowControl w:val="false"/>
              <w:numPr>
                <w:ilvl w:val="0"/>
                <w:numId w:val="9"/>
              </w:numPr>
              <w:suppressAutoHyphens w:val="true"/>
              <w:spacing w:lineRule="auto" w:line="240" w:before="0" w:after="0"/>
              <w:ind w:start="342" w:hanging="360"/>
              <w:jc w:val="start"/>
              <w:rPr>
                <w:rFonts w:ascii="Tahoma" w:hAnsi="Tahoma" w:eastAsia="Times New Roman" w:cs="Tahoma"/>
                <w:sz w:val="20"/>
                <w:szCs w:val="18"/>
                <w:lang w:eastAsia="sr-Latn-RS"/>
              </w:rPr>
            </w:pPr>
            <w:r>
              <w:rPr>
                <w:rFonts w:eastAsia="Times New Roman" w:cs="Tahoma" w:ascii="Tahoma" w:hAnsi="Tahoma"/>
                <w:bCs/>
                <w:kern w:val="2"/>
                <w:sz w:val="20"/>
                <w:szCs w:val="18"/>
                <w:lang w:val="sr-RS" w:eastAsia="sr-Latn-RS" w:bidi="ar-SA"/>
              </w:rPr>
              <w:t xml:space="preserve">Застарела Уредба о </w:t>
            </w:r>
            <w:r>
              <w:rPr>
                <w:rFonts w:eastAsia="Times New Roman" w:cs="Tahoma" w:ascii="Tahoma" w:hAnsi="Tahoma"/>
                <w:kern w:val="2"/>
                <w:sz w:val="20"/>
                <w:szCs w:val="18"/>
                <w:lang w:val="en-US" w:eastAsia="sr-Latn-RS" w:bidi="ar-SA"/>
              </w:rPr>
              <w:t>утврђивању јединствене листе развијености региона и јединица локалне самоуправе за 2014. годину</w:t>
            </w:r>
            <w:r>
              <w:rPr>
                <w:rStyle w:val="FootnoteAnchor"/>
                <w:rFonts w:eastAsia="Calibri" w:cs="Tahoma" w:ascii="Tahoma" w:hAnsi="Tahoma"/>
                <w:kern w:val="2"/>
                <w:sz w:val="20"/>
                <w:szCs w:val="18"/>
                <w:lang w:val="sr-RS" w:eastAsia="en-US" w:bidi="ar-SA"/>
              </w:rPr>
              <w:footnoteReference w:id="72"/>
            </w:r>
            <w:r>
              <w:rPr>
                <w:rFonts w:eastAsia="Calibri" w:cs="Tahoma" w:ascii="Tahoma" w:hAnsi="Tahoma"/>
                <w:kern w:val="2"/>
                <w:sz w:val="20"/>
                <w:szCs w:val="18"/>
                <w:lang w:val="sr-RS" w:eastAsia="en-US" w:bidi="ar-SA"/>
              </w:rPr>
              <w:t xml:space="preserve"> </w:t>
            </w:r>
            <w:r>
              <w:rPr>
                <w:rFonts w:eastAsia="Times New Roman" w:cs="Tahoma" w:ascii="Tahoma" w:hAnsi="Tahoma"/>
                <w:kern w:val="2"/>
                <w:sz w:val="20"/>
                <w:szCs w:val="18"/>
                <w:lang w:val="en-US" w:eastAsia="sr-Latn-RS" w:bidi="ar-SA"/>
              </w:rPr>
              <w:t xml:space="preserve">према којој општина </w:t>
            </w:r>
            <w:r>
              <w:rPr>
                <w:rFonts w:eastAsia="Times New Roman" w:cs="Tahoma" w:ascii="Tahoma" w:hAnsi="Tahoma"/>
                <w:kern w:val="2"/>
                <w:sz w:val="20"/>
                <w:szCs w:val="18"/>
                <w:lang w:val="sr-RS" w:eastAsia="sr-Latn-RS" w:bidi="ar-SA"/>
              </w:rPr>
              <w:t xml:space="preserve">Беочин </w:t>
            </w:r>
            <w:r>
              <w:rPr>
                <w:rFonts w:eastAsia="Times New Roman" w:cs="Tahoma" w:ascii="Tahoma" w:hAnsi="Tahoma"/>
                <w:kern w:val="2"/>
                <w:sz w:val="20"/>
                <w:szCs w:val="18"/>
                <w:lang w:val="en-US" w:eastAsia="sr-Latn-RS" w:bidi="ar-SA"/>
              </w:rPr>
              <w:t>припада првој групи ЈЛС чији је степен развијености изнад републичког просека, што одавно више није чињенично стање.</w:t>
            </w:r>
          </w:p>
          <w:p>
            <w:pPr>
              <w:pStyle w:val="ListParagraph"/>
              <w:widowControl w:val="false"/>
              <w:numPr>
                <w:ilvl w:val="0"/>
                <w:numId w:val="9"/>
              </w:numPr>
              <w:suppressAutoHyphens w:val="true"/>
              <w:spacing w:lineRule="auto" w:line="240" w:before="0" w:after="0"/>
              <w:ind w:start="342" w:hanging="360"/>
              <w:contextualSpacing/>
              <w:jc w:val="start"/>
              <w:rPr>
                <w:rFonts w:ascii="Tahoma" w:hAnsi="Tahoma" w:eastAsia="Times New Roman" w:cs="Tahoma"/>
                <w:sz w:val="20"/>
                <w:szCs w:val="18"/>
                <w:lang w:eastAsia="sr-Latn-RS"/>
              </w:rPr>
            </w:pPr>
            <w:r>
              <w:rPr>
                <w:rFonts w:eastAsia="Times New Roman" w:cs="Tahoma" w:ascii="Tahoma" w:hAnsi="Tahoma"/>
                <w:bCs/>
                <w:kern w:val="2"/>
                <w:sz w:val="20"/>
                <w:szCs w:val="18"/>
                <w:lang w:val="sr-RS" w:eastAsia="sr-Latn-RS" w:bidi="ar-SA"/>
              </w:rPr>
              <w:t>Немамо ажуриран Закон о социјалној заштити</w:t>
            </w:r>
          </w:p>
          <w:p>
            <w:pPr>
              <w:pStyle w:val="ListParagraph"/>
              <w:widowControl w:val="false"/>
              <w:numPr>
                <w:ilvl w:val="0"/>
                <w:numId w:val="9"/>
              </w:numPr>
              <w:suppressAutoHyphens w:val="true"/>
              <w:spacing w:lineRule="auto" w:line="240" w:before="0" w:after="0"/>
              <w:ind w:start="342" w:hanging="360"/>
              <w:contextualSpacing/>
              <w:jc w:val="start"/>
              <w:rPr>
                <w:rFonts w:ascii="Tahoma" w:hAnsi="Tahoma" w:eastAsia="Times New Roman" w:cs="Tahoma"/>
                <w:sz w:val="20"/>
                <w:szCs w:val="18"/>
                <w:lang w:eastAsia="sr-Latn-RS"/>
              </w:rPr>
            </w:pPr>
            <w:r>
              <w:rPr>
                <w:rFonts w:eastAsia="Times New Roman" w:cs="Tahoma" w:ascii="Tahoma" w:hAnsi="Tahoma"/>
                <w:bCs/>
                <w:kern w:val="2"/>
                <w:sz w:val="20"/>
                <w:szCs w:val="18"/>
                <w:lang w:val="sr-RS" w:eastAsia="sr-Latn-RS" w:bidi="ar-SA"/>
              </w:rPr>
              <w:t>Није израђена кровна стратегија социјалне заштите на националном нивоу</w:t>
            </w:r>
          </w:p>
        </w:tc>
      </w:tr>
      <w:tr>
        <w:trPr/>
        <w:tc>
          <w:tcPr>
            <w:tcW w:w="10347" w:type="dxa"/>
            <w:gridSpan w:val="2"/>
            <w:tcBorders/>
            <w:shd w:color="auto" w:fill="D9E2F3" w:themeFill="accent1" w:themeFillTint="33" w:val="clear"/>
          </w:tcPr>
          <w:p>
            <w:pPr>
              <w:pStyle w:val="Normal"/>
              <w:widowControl w:val="false"/>
              <w:suppressAutoHyphens w:val="true"/>
              <w:spacing w:lineRule="auto" w:line="240" w:before="0" w:after="0"/>
              <w:jc w:val="both"/>
              <w:rPr>
                <w:rFonts w:ascii="Tahoma" w:hAnsi="Tahoma" w:eastAsia="Times New Roman" w:cs="Tahoma"/>
                <w:sz w:val="20"/>
                <w:szCs w:val="18"/>
                <w:lang w:val="sr-Latn-RS" w:eastAsia="sr-Latn-RS"/>
              </w:rPr>
            </w:pPr>
            <w:r>
              <w:rPr>
                <w:rFonts w:eastAsia="Times New Roman" w:cs="Tahoma" w:ascii="Tahoma" w:hAnsi="Tahoma"/>
                <w:b/>
                <w:bCs/>
                <w:kern w:val="2"/>
                <w:sz w:val="20"/>
                <w:szCs w:val="18"/>
                <w:lang w:val="sr-RS" w:eastAsia="sr-Latn-RS" w:bidi="ar-SA"/>
              </w:rPr>
              <w:t xml:space="preserve">Закључак: </w:t>
            </w:r>
            <w:r>
              <w:rPr>
                <w:rFonts w:eastAsia="Times New Roman" w:cs="Tahoma" w:ascii="Tahoma" w:hAnsi="Tahoma"/>
                <w:kern w:val="2"/>
                <w:sz w:val="20"/>
                <w:szCs w:val="18"/>
                <w:lang w:val="sr-Latn-RS" w:eastAsia="sr-Latn-RS" w:bidi="ar-SA"/>
              </w:rPr>
              <w:t>Да би се постигло унапређење социјалне заштите, општина Беочин треба да се фокусира на развој постојећих и успостављање услуга у заједници, и оснивање самосталног Центра за социјални рад. Приоритети укључују и побољшање инфраструктуре, одговор на потребе корисника, стабилно финансирање и унапређење кадровских капацитета. У даљој перспективи, с обзиром на ограничене капацитете општине, развој иновативних и интегрисаних услуга може бити решење за обезбеђивање дугорочне одрживости система и задовољење потреба већег броја рањивих група у заједници. Сарадња са другим општинама и партнерима на регионалном нивоу може допринети успешнијој имплементацији.</w:t>
            </w:r>
          </w:p>
          <w:p>
            <w:pPr>
              <w:pStyle w:val="Normal"/>
              <w:widowControl w:val="false"/>
              <w:suppressAutoHyphens w:val="true"/>
              <w:spacing w:lineRule="auto" w:line="240" w:before="0" w:after="0"/>
              <w:jc w:val="both"/>
              <w:rPr>
                <w:rFonts w:ascii="Tahoma" w:hAnsi="Tahoma" w:eastAsia="Times New Roman" w:cs="Tahoma"/>
                <w:sz w:val="20"/>
                <w:szCs w:val="18"/>
                <w:lang w:val="sr-RS" w:eastAsia="sr-Latn-RS"/>
              </w:rPr>
            </w:pPr>
            <w:r>
              <w:rPr>
                <w:rFonts w:eastAsia="Times New Roman" w:cs="Tahoma" w:ascii="Tahoma" w:hAnsi="Tahoma"/>
                <w:kern w:val="2"/>
                <w:sz w:val="20"/>
                <w:szCs w:val="18"/>
                <w:lang w:val="sr-RS" w:eastAsia="sr-Latn-RS" w:bidi="ar-SA"/>
              </w:rPr>
              <w:t>Конкретно, потребно је:</w:t>
            </w:r>
          </w:p>
          <w:p>
            <w:pPr>
              <w:pStyle w:val="ListParagraph"/>
              <w:widowControl w:val="false"/>
              <w:numPr>
                <w:ilvl w:val="0"/>
                <w:numId w:val="11"/>
              </w:numPr>
              <w:suppressAutoHyphens w:val="true"/>
              <w:spacing w:lineRule="auto" w:line="240" w:before="0" w:after="0"/>
              <w:ind w:start="426" w:hanging="360"/>
              <w:contextualSpacing/>
              <w:jc w:val="both"/>
              <w:rPr>
                <w:rFonts w:ascii="Tahoma" w:hAnsi="Tahoma" w:eastAsia="Times New Roman" w:cs="Tahoma"/>
                <w:sz w:val="20"/>
                <w:szCs w:val="18"/>
                <w:lang w:val="sr-Latn-RS" w:eastAsia="sr-Latn-RS"/>
              </w:rPr>
            </w:pPr>
            <w:r>
              <w:rPr>
                <w:rFonts w:eastAsia="Times New Roman" w:cs="Tahoma" w:ascii="Tahoma" w:hAnsi="Tahoma"/>
                <w:kern w:val="2"/>
                <w:sz w:val="20"/>
                <w:szCs w:val="18"/>
                <w:lang w:val="sr-Latn-RS" w:eastAsia="sr-Latn-RS" w:bidi="ar-SA"/>
              </w:rPr>
              <w:t>Успоставити најмање једну одрживу услугу за старе и особе са инвалидитетом на територији општине.</w:t>
            </w:r>
          </w:p>
          <w:p>
            <w:pPr>
              <w:pStyle w:val="ListParagraph"/>
              <w:widowControl w:val="false"/>
              <w:numPr>
                <w:ilvl w:val="0"/>
                <w:numId w:val="11"/>
              </w:numPr>
              <w:suppressAutoHyphens w:val="true"/>
              <w:spacing w:lineRule="auto" w:line="240" w:before="0" w:after="0"/>
              <w:ind w:start="426" w:hanging="360"/>
              <w:contextualSpacing/>
              <w:jc w:val="both"/>
              <w:rPr>
                <w:rFonts w:ascii="Tahoma" w:hAnsi="Tahoma" w:eastAsia="Times New Roman" w:cs="Tahoma"/>
                <w:sz w:val="20"/>
                <w:szCs w:val="18"/>
                <w:lang w:val="sr-Latn-RS" w:eastAsia="sr-Latn-RS"/>
              </w:rPr>
            </w:pPr>
            <w:r>
              <w:rPr>
                <w:rFonts w:eastAsia="Times New Roman" w:cs="Tahoma" w:ascii="Tahoma" w:hAnsi="Tahoma"/>
                <w:kern w:val="2"/>
                <w:sz w:val="20"/>
                <w:szCs w:val="18"/>
                <w:lang w:val="sr-Latn-RS" w:eastAsia="sr-Latn-RS" w:bidi="ar-SA"/>
              </w:rPr>
              <w:t>Успоставити најмање једну услугу за  децу и младе, укључујући децу и младе са инвалидитетом. С обзиром на ограничене финансијске ресурсе општине, ова препорука иде у правцу развоја иновативне интегрисане услуге која би садржавала елементе социјално-едукативних и саветодавно-терапијских услуга како би се више актера у заједници повезали у организацији услуге а одговорило на разноврсне потребе ових циљних група.</w:t>
            </w:r>
          </w:p>
          <w:p>
            <w:pPr>
              <w:pStyle w:val="ListParagraph"/>
              <w:widowControl w:val="false"/>
              <w:numPr>
                <w:ilvl w:val="0"/>
                <w:numId w:val="11"/>
              </w:numPr>
              <w:suppressAutoHyphens w:val="true"/>
              <w:spacing w:lineRule="auto" w:line="240" w:before="0" w:after="0"/>
              <w:ind w:start="426" w:hanging="360"/>
              <w:contextualSpacing/>
              <w:jc w:val="both"/>
              <w:rPr>
                <w:rFonts w:ascii="Tahoma" w:hAnsi="Tahoma" w:eastAsia="Times New Roman" w:cs="Tahoma"/>
                <w:sz w:val="20"/>
                <w:szCs w:val="18"/>
                <w:lang w:val="sr-Latn-RS" w:eastAsia="sr-Latn-RS"/>
              </w:rPr>
            </w:pPr>
            <w:r>
              <w:rPr>
                <w:rFonts w:eastAsia="Times New Roman" w:cs="Tahoma" w:ascii="Tahoma" w:hAnsi="Tahoma"/>
                <w:kern w:val="2"/>
                <w:sz w:val="20"/>
                <w:szCs w:val="18"/>
                <w:lang w:val="sr-Latn-RS" w:eastAsia="sr-Latn-RS" w:bidi="ar-SA"/>
              </w:rPr>
              <w:t>Побољшати информисаност грађана о доступним правима и услугама социјалне заштите, кроз информативне кампање и лако доступне информативне материјале.</w:t>
            </w:r>
          </w:p>
          <w:p>
            <w:pPr>
              <w:pStyle w:val="ListParagraph"/>
              <w:widowControl w:val="false"/>
              <w:numPr>
                <w:ilvl w:val="0"/>
                <w:numId w:val="11"/>
              </w:numPr>
              <w:suppressAutoHyphens w:val="true"/>
              <w:spacing w:lineRule="auto" w:line="240" w:before="0" w:after="0"/>
              <w:ind w:start="426" w:hanging="360"/>
              <w:contextualSpacing/>
              <w:jc w:val="both"/>
              <w:rPr>
                <w:rFonts w:ascii="Tahoma" w:hAnsi="Tahoma" w:eastAsia="Times New Roman" w:cs="Tahoma"/>
                <w:sz w:val="20"/>
                <w:szCs w:val="18"/>
                <w:lang w:val="sr-Latn-RS" w:eastAsia="sr-Latn-RS"/>
              </w:rPr>
            </w:pPr>
            <w:r>
              <w:rPr>
                <w:rFonts w:eastAsia="Times New Roman" w:cs="Tahoma" w:ascii="Tahoma" w:hAnsi="Tahoma"/>
                <w:kern w:val="2"/>
                <w:sz w:val="20"/>
                <w:szCs w:val="18"/>
                <w:lang w:val="sr-Latn-RS" w:eastAsia="sr-Latn-RS" w:bidi="ar-SA"/>
              </w:rPr>
              <w:t>Улагање у кадрове и њихову обуку треба бити приоритет, како би се обезбедили квалификовани стручњаци за рад са рањивим групама, и унапређење инфраструктуре у социјалним и здравственим установама је неопходно како би се обезбедила боља доступност и квалитет услуга за све грађане општине Беочин.</w:t>
            </w:r>
          </w:p>
          <w:p>
            <w:pPr>
              <w:pStyle w:val="ListParagraph"/>
              <w:widowControl w:val="false"/>
              <w:numPr>
                <w:ilvl w:val="0"/>
                <w:numId w:val="11"/>
              </w:numPr>
              <w:suppressAutoHyphens w:val="true"/>
              <w:spacing w:lineRule="auto" w:line="240" w:before="0" w:after="0"/>
              <w:ind w:start="426" w:hanging="360"/>
              <w:contextualSpacing/>
              <w:jc w:val="both"/>
              <w:rPr>
                <w:rFonts w:ascii="Tahoma" w:hAnsi="Tahoma" w:eastAsia="Times New Roman" w:cs="Tahoma"/>
                <w:sz w:val="20"/>
                <w:szCs w:val="18"/>
                <w:lang w:val="sr-Latn-RS" w:eastAsia="sr-Latn-RS"/>
              </w:rPr>
            </w:pPr>
            <w:r>
              <w:rPr>
                <w:rFonts w:eastAsia="Times New Roman" w:cs="Tahoma" w:ascii="Tahoma" w:hAnsi="Tahoma"/>
                <w:kern w:val="2"/>
                <w:sz w:val="20"/>
                <w:szCs w:val="18"/>
                <w:lang w:val="sr-Latn-RS" w:eastAsia="sr-Latn-RS" w:bidi="ar-SA"/>
              </w:rPr>
              <w:t>Наставити са стварањем услова за успостављање сопственог центра за социјални рад за општину Беочин.</w:t>
            </w:r>
          </w:p>
          <w:p>
            <w:pPr>
              <w:pStyle w:val="ListParagraph"/>
              <w:widowControl w:val="false"/>
              <w:numPr>
                <w:ilvl w:val="0"/>
                <w:numId w:val="11"/>
              </w:numPr>
              <w:suppressAutoHyphens w:val="true"/>
              <w:spacing w:lineRule="auto" w:line="240" w:before="0" w:after="0"/>
              <w:ind w:start="426" w:hanging="360"/>
              <w:contextualSpacing/>
              <w:jc w:val="both"/>
              <w:rPr>
                <w:rFonts w:ascii="Tahoma" w:hAnsi="Tahoma" w:eastAsia="Times New Roman" w:cs="Tahoma"/>
                <w:sz w:val="20"/>
                <w:szCs w:val="18"/>
                <w:lang w:val="sr-Latn-RS" w:eastAsia="sr-Latn-RS"/>
              </w:rPr>
            </w:pPr>
            <w:r>
              <w:rPr>
                <w:rFonts w:eastAsia="Times New Roman" w:cs="Tahoma" w:ascii="Tahoma" w:hAnsi="Tahoma"/>
                <w:kern w:val="2"/>
                <w:sz w:val="20"/>
                <w:szCs w:val="18"/>
                <w:lang w:val="sr-Latn-RS" w:eastAsia="sr-Latn-RS" w:bidi="ar-SA"/>
              </w:rPr>
              <w:t>Коришћење ресурса мреже установа Града Новог Сада је свакако значајно, с тим да је потребно размотрити на који начин се може унапредити ефикасност у коришћењу ових ресурса и побољштати квалитет услуга за грађане општине Беочин, пре свега кроз успостављање услуга на самој територији општине Беочин. Такође, међуопштинска сарадња може да се успостави и са другим јединицама локалне самоуправе које имају лиценциране услуге и пружаоце услуга.</w:t>
            </w:r>
          </w:p>
          <w:p>
            <w:pPr>
              <w:pStyle w:val="ListParagraph"/>
              <w:widowControl w:val="false"/>
              <w:numPr>
                <w:ilvl w:val="0"/>
                <w:numId w:val="11"/>
              </w:numPr>
              <w:suppressAutoHyphens w:val="true"/>
              <w:spacing w:lineRule="auto" w:line="240" w:before="0" w:after="0"/>
              <w:ind w:start="426" w:hanging="360"/>
              <w:contextualSpacing/>
              <w:jc w:val="both"/>
              <w:rPr>
                <w:rFonts w:ascii="Tahoma" w:hAnsi="Tahoma" w:eastAsia="Times New Roman" w:cs="Tahoma"/>
                <w:sz w:val="20"/>
                <w:szCs w:val="18"/>
                <w:lang w:val="sr-Latn-RS" w:eastAsia="sr-Latn-RS"/>
              </w:rPr>
            </w:pPr>
            <w:r>
              <w:rPr>
                <w:rFonts w:eastAsia="Times New Roman" w:cs="Tahoma" w:ascii="Tahoma" w:hAnsi="Tahoma"/>
                <w:kern w:val="2"/>
                <w:sz w:val="20"/>
                <w:szCs w:val="18"/>
                <w:lang w:val="sr-Latn-RS" w:eastAsia="sr-Latn-RS" w:bidi="ar-SA"/>
              </w:rPr>
              <w:t>Уложити у развијање међусекторске сарадње и боље повезивање и координацију између различитих система у локалној заједници. С обзиром на величину општине и мали број установа и организација, неопходно је да се обезбеди механизам који ће омогућити координацију и размену информација између кључних актера у општини - локалне самоуправе,  Центра за социјални рад, Дома здравља, образовних установа, и организација цивилног друштва. Тиме ће се додатно и јачати њихови капацитети и, дугорочно гледано, побољшати квалитет услуга у заједници. Зато, у складу са Статутом општине,, ова препорука иде у правцу оснивања Савета за социјалну заштиту, и то као сталног радног тела Скупштине општине.</w:t>
            </w:r>
          </w:p>
          <w:p>
            <w:pPr>
              <w:pStyle w:val="ListParagraph"/>
              <w:widowControl w:val="false"/>
              <w:numPr>
                <w:ilvl w:val="0"/>
                <w:numId w:val="11"/>
              </w:numPr>
              <w:suppressAutoHyphens w:val="true"/>
              <w:spacing w:lineRule="auto" w:line="240" w:before="0" w:after="0"/>
              <w:ind w:start="426" w:hanging="360"/>
              <w:contextualSpacing/>
              <w:jc w:val="both"/>
              <w:rPr>
                <w:rFonts w:ascii="Tahoma" w:hAnsi="Tahoma" w:eastAsia="Times New Roman" w:cs="Tahoma"/>
                <w:sz w:val="20"/>
                <w:szCs w:val="18"/>
                <w:lang w:val="sr-Latn-RS" w:eastAsia="sr-Latn-RS"/>
              </w:rPr>
            </w:pPr>
            <w:r>
              <w:rPr>
                <w:rFonts w:eastAsia="Times New Roman" w:cs="Tahoma" w:ascii="Tahoma" w:hAnsi="Tahoma"/>
                <w:kern w:val="2"/>
                <w:sz w:val="20"/>
                <w:szCs w:val="18"/>
                <w:lang w:val="sr-Latn-RS" w:eastAsia="sr-Latn-RS" w:bidi="ar-SA"/>
              </w:rPr>
              <w:t>С обзиром на податке Центра за социјални рад, приликом израде Програма унапређења социјалне заштите додатно се фокусирати на подршку деци и младима са сметњама у развоју и инвалидитетом и децу и младе са проблемима у понашању, партнерско и насиље у породици и вршњачко насиље, те у даљој перспективи, треба размотрити покретање услуге саветовалишта за брак и породицу и интегрисане или међуопштинске услуге за децу и  младе, али и превентивне програме који укључују инклузивне активности и више квалитетних садржаја за провођење слободног времена деце и младих.</w:t>
            </w:r>
          </w:p>
          <w:p>
            <w:pPr>
              <w:pStyle w:val="Normal"/>
              <w:widowControl w:val="false"/>
              <w:suppressAutoHyphens w:val="true"/>
              <w:spacing w:lineRule="auto" w:line="240" w:before="0" w:after="0"/>
              <w:jc w:val="start"/>
              <w:rPr>
                <w:rFonts w:ascii="Tahoma" w:hAnsi="Tahoma" w:cs="Tahoma"/>
                <w:sz w:val="20"/>
                <w:szCs w:val="18"/>
                <w:lang w:val="sr-Latn-RS"/>
              </w:rPr>
            </w:pPr>
            <w:r>
              <w:rPr>
                <w:rFonts w:cs="Tahoma" w:ascii="Tahoma" w:hAnsi="Tahoma"/>
                <w:sz w:val="20"/>
                <w:szCs w:val="18"/>
                <w:lang w:val="sr-Latn-RS"/>
              </w:rPr>
            </w:r>
          </w:p>
          <w:p>
            <w:pPr>
              <w:pStyle w:val="Normal"/>
              <w:widowControl w:val="false"/>
              <w:suppressAutoHyphens w:val="true"/>
              <w:spacing w:lineRule="auto" w:line="240" w:before="0" w:after="0"/>
              <w:jc w:val="both"/>
              <w:rPr>
                <w:rFonts w:ascii="Tahoma" w:hAnsi="Tahoma" w:eastAsia="Times New Roman" w:cs="Tahoma"/>
                <w:b/>
                <w:b/>
                <w:bCs/>
                <w:sz w:val="20"/>
                <w:szCs w:val="18"/>
                <w:lang w:val="sr-Latn-RS" w:eastAsia="sr-Latn-RS"/>
              </w:rPr>
            </w:pPr>
            <w:r>
              <w:rPr>
                <w:rFonts w:eastAsia="Times New Roman" w:cs="Tahoma" w:ascii="Tahoma" w:hAnsi="Tahoma"/>
                <w:b/>
                <w:bCs/>
                <w:sz w:val="20"/>
                <w:szCs w:val="18"/>
                <w:lang w:val="sr-Latn-RS" w:eastAsia="sr-Latn-RS"/>
              </w:rPr>
            </w:r>
          </w:p>
        </w:tc>
      </w:tr>
    </w:tbl>
    <w:p>
      <w:pPr>
        <w:pStyle w:val="Normal"/>
        <w:spacing w:lineRule="auto" w:line="240"/>
        <w:rPr>
          <w:b/>
          <w:b/>
          <w:bCs/>
          <w:sz w:val="20"/>
          <w:lang w:val="sr-Latn-RS"/>
        </w:rPr>
      </w:pPr>
      <w:r>
        <w:rPr>
          <w:b/>
          <w:bCs/>
          <w:sz w:val="20"/>
          <w:lang w:val="sr-Latn-RS"/>
        </w:rPr>
      </w:r>
    </w:p>
    <w:p>
      <w:pPr>
        <w:pStyle w:val="Normal"/>
        <w:spacing w:lineRule="auto" w:line="240"/>
        <w:rPr>
          <w:b/>
          <w:b/>
          <w:bCs/>
          <w:sz w:val="20"/>
          <w:lang w:val="sr-Latn-RS"/>
        </w:rPr>
      </w:pPr>
      <w:r>
        <w:rPr>
          <w:b/>
          <w:bCs/>
          <w:sz w:val="20"/>
          <w:lang w:val="sr-Latn-RS"/>
        </w:rPr>
      </w:r>
    </w:p>
    <w:p>
      <w:pPr>
        <w:pStyle w:val="Normal"/>
        <w:spacing w:lineRule="auto" w:line="240"/>
        <w:rPr>
          <w:b/>
          <w:b/>
          <w:bCs/>
          <w:sz w:val="20"/>
          <w:lang w:val="sr-Latn-RS"/>
        </w:rPr>
      </w:pPr>
      <w:r>
        <w:rPr>
          <w:b/>
          <w:bCs/>
          <w:sz w:val="20"/>
          <w:lang w:val="sr-Latn-RS"/>
        </w:rPr>
      </w:r>
    </w:p>
    <w:p>
      <w:pPr>
        <w:pStyle w:val="Heading1"/>
        <w:numPr>
          <w:ilvl w:val="0"/>
          <w:numId w:val="1"/>
        </w:numPr>
        <w:spacing w:lineRule="auto" w:line="240"/>
        <w:ind w:start="284" w:hanging="360"/>
        <w:rPr>
          <w:rFonts w:ascii="Tahoma" w:hAnsi="Tahoma" w:cs="Tahoma"/>
          <w:b/>
          <w:b/>
          <w:szCs w:val="28"/>
          <w:lang w:val="sr-RS"/>
        </w:rPr>
      </w:pPr>
      <w:bookmarkStart w:id="27" w:name="_Toc188876956"/>
      <w:r>
        <w:rPr>
          <w:rFonts w:cs="Tahoma" w:ascii="Tahoma" w:hAnsi="Tahoma"/>
          <w:b/>
          <w:szCs w:val="28"/>
          <w:lang w:val="sr-RS"/>
        </w:rPr>
        <w:t>Циљеви и мере Програма унапређења социјалне заштите и припрема пратећег Акционог плана</w:t>
      </w:r>
      <w:bookmarkEnd w:id="27"/>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Heading2"/>
        <w:spacing w:lineRule="auto" w:line="240"/>
        <w:rPr>
          <w:rFonts w:ascii="Tahoma" w:hAnsi="Tahoma" w:cs="Tahoma"/>
          <w:sz w:val="24"/>
          <w:szCs w:val="28"/>
          <w:lang w:val="sr-RS"/>
        </w:rPr>
      </w:pPr>
      <w:bookmarkStart w:id="28" w:name="_Toc188876957"/>
      <w:bookmarkStart w:id="29" w:name="_Hlk178975487"/>
      <w:bookmarkEnd w:id="29"/>
      <w:r>
        <w:rPr>
          <w:rFonts w:cs="Tahoma" w:ascii="Tahoma" w:hAnsi="Tahoma"/>
          <w:sz w:val="24"/>
          <w:szCs w:val="28"/>
          <w:lang w:val="sr-RS"/>
        </w:rPr>
        <w:t>4.1. Циљеви и мере Програма</w:t>
      </w:r>
      <w:bookmarkEnd w:id="28"/>
      <w:r>
        <w:rPr>
          <w:rFonts w:cs="Tahoma" w:ascii="Tahoma" w:hAnsi="Tahoma"/>
          <w:sz w:val="24"/>
          <w:szCs w:val="28"/>
          <w:lang w:val="sr-RS"/>
        </w:rPr>
        <w:t xml:space="preserve"> </w:t>
      </w:r>
    </w:p>
    <w:p>
      <w:pPr>
        <w:pStyle w:val="Normal"/>
        <w:spacing w:lineRule="auto" w:line="240"/>
        <w:rPr>
          <w:sz w:val="20"/>
          <w:lang w:val="sr-RS"/>
        </w:rPr>
      </w:pPr>
      <w:r>
        <w:rPr>
          <w:sz w:val="20"/>
          <w:lang w:val="sr-RS"/>
        </w:rPr>
      </w:r>
    </w:p>
    <w:p>
      <w:pPr>
        <w:pStyle w:val="Normal"/>
        <w:spacing w:lineRule="auto" w:line="240" w:before="0" w:after="0"/>
        <w:jc w:val="both"/>
        <w:rPr>
          <w:rFonts w:ascii="Tahoma" w:hAnsi="Tahoma" w:cs="Tahoma"/>
          <w:color w:val="000000"/>
          <w:kern w:val="0"/>
          <w:lang w:val="sr-RS"/>
        </w:rPr>
      </w:pPr>
      <w:r>
        <w:rPr>
          <w:rFonts w:cs="Tahoma" w:ascii="Tahoma" w:hAnsi="Tahoma"/>
          <w:color w:val="000000"/>
          <w:kern w:val="0"/>
          <w:lang w:val="sr-Latn-RS"/>
        </w:rPr>
        <w:t xml:space="preserve">Програм унапређења социјалне заштите у општини </w:t>
      </w:r>
      <w:r>
        <w:rPr>
          <w:rFonts w:cs="Tahoma" w:ascii="Tahoma" w:hAnsi="Tahoma"/>
          <w:color w:val="000000"/>
          <w:kern w:val="0"/>
          <w:lang w:val="sr-RS"/>
        </w:rPr>
        <w:t>Беочин</w:t>
      </w:r>
      <w:r>
        <w:rPr>
          <w:rFonts w:cs="Tahoma" w:ascii="Tahoma" w:hAnsi="Tahoma"/>
          <w:color w:val="000000"/>
          <w:kern w:val="0"/>
          <w:lang w:val="sr-Latn-RS"/>
        </w:rPr>
        <w:t xml:space="preserve"> за период 2025–2030. године осмишљен је као свеобухватан оквир који настоји да одговори на растуће и разноврсне потребе становништва</w:t>
      </w:r>
      <w:r>
        <w:rPr>
          <w:rFonts w:cs="Tahoma" w:ascii="Tahoma" w:hAnsi="Tahoma"/>
          <w:color w:val="000000"/>
          <w:kern w:val="0"/>
          <w:lang w:val="sr-RS"/>
        </w:rPr>
        <w:t>, имајући истовремено у виду псотојеће капацитете и ресурсе локалне  самоуправе да одговори на њих.</w:t>
      </w:r>
    </w:p>
    <w:p>
      <w:pPr>
        <w:pStyle w:val="Normal"/>
        <w:spacing w:lineRule="auto" w:line="240" w:before="0" w:after="0"/>
        <w:jc w:val="both"/>
        <w:rPr>
          <w:rFonts w:ascii="Tahoma" w:hAnsi="Tahoma" w:cs="Tahoma"/>
          <w:color w:val="000000"/>
          <w:kern w:val="0"/>
          <w:lang w:val="sr-Latn-RS"/>
        </w:rPr>
      </w:pPr>
      <w:r>
        <w:rPr>
          <w:rFonts w:cs="Tahoma" w:ascii="Tahoma" w:hAnsi="Tahoma"/>
          <w:color w:val="000000"/>
          <w:kern w:val="0"/>
          <w:lang w:val="sr-Latn-RS"/>
        </w:rPr>
        <w:t xml:space="preserve"> </w:t>
      </w:r>
    </w:p>
    <w:p>
      <w:pPr>
        <w:pStyle w:val="Normal"/>
        <w:spacing w:lineRule="auto" w:line="240" w:before="0" w:after="0"/>
        <w:jc w:val="both"/>
        <w:rPr>
          <w:rFonts w:ascii="Tahoma" w:hAnsi="Tahoma" w:cs="Tahoma"/>
          <w:color w:val="000000"/>
          <w:kern w:val="0"/>
          <w:lang w:val="sr-Latn-RS"/>
        </w:rPr>
      </w:pPr>
      <w:r>
        <w:rPr>
          <w:rFonts w:cs="Tahoma" w:ascii="Tahoma" w:hAnsi="Tahoma"/>
          <w:color w:val="000000"/>
          <w:kern w:val="0"/>
          <w:lang w:val="sr-Latn-RS"/>
        </w:rPr>
        <w:t xml:space="preserve">На основу </w:t>
      </w:r>
      <w:r>
        <w:rPr>
          <w:rFonts w:cs="Tahoma" w:ascii="Tahoma" w:hAnsi="Tahoma"/>
          <w:color w:val="000000"/>
          <w:kern w:val="0"/>
          <w:lang w:val="sr-RS"/>
        </w:rPr>
        <w:t>спроведене</w:t>
      </w:r>
      <w:r>
        <w:rPr>
          <w:rFonts w:cs="Tahoma" w:ascii="Tahoma" w:hAnsi="Tahoma"/>
          <w:color w:val="000000"/>
          <w:kern w:val="0"/>
          <w:lang w:val="sr-Latn-RS"/>
        </w:rPr>
        <w:t xml:space="preserve"> анализе стања и положаја грађана у области социјалне заштите, спроведеног мапирања потреба корисника и потенцијалних корисника права и услуга социјалне заштите у општини </w:t>
      </w:r>
      <w:r>
        <w:rPr>
          <w:rFonts w:cs="Tahoma" w:ascii="Tahoma" w:hAnsi="Tahoma"/>
          <w:color w:val="000000"/>
          <w:kern w:val="0"/>
          <w:lang w:val="sr-RS"/>
        </w:rPr>
        <w:t>Беочин</w:t>
      </w:r>
      <w:r>
        <w:rPr>
          <w:rFonts w:cs="Tahoma" w:ascii="Tahoma" w:hAnsi="Tahoma"/>
          <w:color w:val="000000"/>
          <w:kern w:val="0"/>
          <w:lang w:val="sr-Latn-RS"/>
        </w:rPr>
        <w:t xml:space="preserve">, као и идентификације ресурса пружалаца услуга на локалном нивоу утврђена је логика интервенције и формулисани су општи и посебни циљеви и у оквиру њих мере и активности које ће допринети остварењу тих циљева. </w:t>
      </w:r>
    </w:p>
    <w:p>
      <w:pPr>
        <w:pStyle w:val="Normal"/>
        <w:spacing w:lineRule="auto" w:line="240" w:before="0" w:after="0"/>
        <w:rPr>
          <w:rFonts w:ascii="Tahoma" w:hAnsi="Tahoma" w:cs="Tahoma"/>
          <w:color w:val="000000"/>
          <w:kern w:val="0"/>
          <w:lang w:val="sr-Latn-RS"/>
        </w:rPr>
      </w:pPr>
      <w:r>
        <w:rPr>
          <w:rFonts w:cs="Tahoma" w:ascii="Tahoma" w:hAnsi="Tahoma"/>
          <w:color w:val="000000"/>
          <w:kern w:val="0"/>
          <w:lang w:val="sr-Latn-RS"/>
        </w:rPr>
      </w:r>
    </w:p>
    <w:p>
      <w:pPr>
        <w:pStyle w:val="Normal"/>
        <w:spacing w:lineRule="auto" w:line="240" w:before="0" w:after="0"/>
        <w:jc w:val="both"/>
        <w:rPr>
          <w:rFonts w:ascii="Tahoma" w:hAnsi="Tahoma" w:cs="Tahoma"/>
          <w:color w:val="000000"/>
          <w:kern w:val="0"/>
          <w:lang w:val="sr-Latn-RS"/>
        </w:rPr>
      </w:pPr>
      <w:r>
        <w:rPr>
          <w:rFonts w:cs="Tahoma" w:ascii="Tahoma" w:hAnsi="Tahoma"/>
          <w:color w:val="000000"/>
          <w:kern w:val="0"/>
          <w:lang w:val="sr-RS"/>
        </w:rPr>
        <w:t xml:space="preserve">Важно је истаћи партиципативност процеса с обзиром да је у како у анализу стања тако и у планирање циљева, мера и активности био укључен широк круг релевантних актера из свих сектора и ресора; </w:t>
      </w:r>
      <w:r>
        <w:rPr>
          <w:rFonts w:cs="Tahoma" w:ascii="Tahoma" w:hAnsi="Tahoma"/>
          <w:color w:val="000000"/>
          <w:kern w:val="0"/>
          <w:lang w:val="sr-Latn-RS"/>
        </w:rPr>
        <w:t xml:space="preserve">представника јавне управе, организација цивилног </w:t>
      </w:r>
      <w:r>
        <w:rPr>
          <w:rFonts w:cs="Tahoma" w:ascii="Tahoma" w:hAnsi="Tahoma"/>
          <w:color w:val="000000"/>
          <w:kern w:val="0"/>
          <w:lang w:val="sr-RS"/>
        </w:rPr>
        <w:t>друштва, локалних институција</w:t>
      </w:r>
      <w:r>
        <w:rPr>
          <w:rFonts w:cs="Tahoma" w:ascii="Tahoma" w:hAnsi="Tahoma"/>
          <w:color w:val="000000"/>
          <w:kern w:val="0"/>
          <w:lang w:val="sr-Latn-RS"/>
        </w:rPr>
        <w:t xml:space="preserve">. Приликом израде документа поштовало се начело реалистичности, те су уважене финансијске и административне могућности и ограничења општине, док ће изазови који настану услед тих ограничења бити превазиђени прерасподелом средстава у складу са стратешким опредељењима формулисаним у овом документу и оснаженом међусекторском сарадњом. </w:t>
      </w:r>
    </w:p>
    <w:p>
      <w:pPr>
        <w:pStyle w:val="Normal"/>
        <w:spacing w:lineRule="auto" w:line="240" w:beforeAutospacing="1" w:afterAutospacing="1"/>
        <w:jc w:val="both"/>
        <w:rPr>
          <w:rFonts w:ascii="Tahoma" w:hAnsi="Tahoma" w:cs="Tahoma"/>
          <w:color w:val="000000"/>
          <w:kern w:val="0"/>
          <w:lang w:val="sr-Latn-RS"/>
        </w:rPr>
      </w:pPr>
      <w:r>
        <w:rPr>
          <w:rFonts w:cs="Tahoma" w:ascii="Tahoma" w:hAnsi="Tahoma"/>
          <w:color w:val="000000"/>
          <w:kern w:val="0"/>
          <w:lang w:val="sr-Latn-RS"/>
        </w:rPr>
        <w:t xml:space="preserve">Приликом формулисања циљева и мера узети су у обзир и национални и локални важећи документи јавних политика, пре свега План развоја општине </w:t>
      </w:r>
      <w:r>
        <w:rPr>
          <w:rFonts w:cs="Tahoma" w:ascii="Tahoma" w:hAnsi="Tahoma"/>
          <w:color w:val="000000"/>
          <w:kern w:val="0"/>
          <w:lang w:val="sr-RS"/>
        </w:rPr>
        <w:t>Беочин</w:t>
      </w:r>
      <w:r>
        <w:rPr>
          <w:rFonts w:cs="Tahoma" w:ascii="Tahoma" w:hAnsi="Tahoma"/>
          <w:color w:val="000000"/>
          <w:kern w:val="0"/>
          <w:lang w:val="sr-Latn-RS"/>
        </w:rPr>
        <w:t xml:space="preserve"> као и Стратегија деинституционализације и развоја услуга социјалне заштите у заједници за период 2022-2026. </w:t>
      </w:r>
    </w:p>
    <w:p>
      <w:pPr>
        <w:pStyle w:val="Normal"/>
        <w:spacing w:lineRule="auto" w:line="240" w:beforeAutospacing="1" w:afterAutospacing="1"/>
        <w:jc w:val="both"/>
        <w:rPr>
          <w:rFonts w:ascii="Tahoma" w:hAnsi="Tahoma" w:cs="Tahoma"/>
          <w:b/>
          <w:b/>
          <w:szCs w:val="20"/>
          <w:lang w:val="sr-RS"/>
        </w:rPr>
      </w:pPr>
      <w:r>
        <w:rPr>
          <w:rFonts w:cs="Tahoma" w:ascii="Tahoma" w:hAnsi="Tahoma"/>
          <w:b/>
          <w:szCs w:val="20"/>
          <w:lang w:val="sr-RS"/>
        </w:rPr>
        <w:t xml:space="preserve">ОПШТИ ЦИЉ: </w:t>
      </w:r>
    </w:p>
    <w:p>
      <w:pPr>
        <w:pStyle w:val="Normal"/>
        <w:spacing w:lineRule="auto" w:line="240" w:beforeAutospacing="1" w:afterAutospacing="1"/>
        <w:jc w:val="both"/>
        <w:rPr>
          <w:rFonts w:ascii="Tahoma" w:hAnsi="Tahoma" w:cs="Tahoma"/>
          <w:b/>
          <w:b/>
          <w:szCs w:val="20"/>
          <w:lang w:val="sr-RS"/>
        </w:rPr>
      </w:pPr>
      <w:r>
        <w:rPr>
          <w:rFonts w:cs="Tahoma" w:ascii="Tahoma" w:hAnsi="Tahoma"/>
          <w:b/>
          <w:szCs w:val="20"/>
          <w:lang w:val="sr-RS"/>
        </w:rPr>
        <w:t>Развој одрживог и доступног система социјалне заштите у општини Беочин, који подржава социјалну инклузију и побољшање квалитета живота свих грађана.</w:t>
      </w:r>
    </w:p>
    <w:tbl>
      <w:tblPr>
        <w:tblStyle w:val="TableGrid0"/>
        <w:tblW w:w="9984" w:type="dxa"/>
        <w:jc w:val="start"/>
        <w:tblInd w:w="-147" w:type="dxa"/>
        <w:tblLayout w:type="fixed"/>
        <w:tblCellMar>
          <w:top w:w="52" w:type="dxa"/>
          <w:start w:w="76" w:type="dxa"/>
          <w:bottom w:w="0" w:type="dxa"/>
          <w:end w:w="101" w:type="dxa"/>
        </w:tblCellMar>
        <w:tblLook w:firstRow="1" w:noVBand="1" w:lastRow="0" w:firstColumn="1" w:lastColumn="0" w:noHBand="0" w:val="04a0"/>
      </w:tblPr>
      <w:tblGrid>
        <w:gridCol w:w="3119"/>
        <w:gridCol w:w="3795"/>
        <w:gridCol w:w="3070"/>
      </w:tblGrid>
      <w:tr>
        <w:trPr>
          <w:trHeight w:val="836" w:hRule="atLeast"/>
        </w:trPr>
        <w:tc>
          <w:tcPr>
            <w:tcW w:w="3119" w:type="dxa"/>
            <w:tcBorders>
              <w:top w:val="single" w:sz="4" w:space="0" w:color="000000"/>
              <w:start w:val="single" w:sz="4" w:space="0" w:color="000000"/>
              <w:bottom w:val="single" w:sz="4" w:space="0" w:color="000000"/>
              <w:end w:val="single" w:sz="4" w:space="0" w:color="000000"/>
            </w:tcBorders>
            <w:shd w:color="auto" w:fill="D9E2F3" w:val="clear"/>
            <w:vAlign w:val="center"/>
          </w:tcPr>
          <w:p>
            <w:pPr>
              <w:pStyle w:val="Normal"/>
              <w:widowControl w:val="false"/>
              <w:suppressAutoHyphens w:val="true"/>
              <w:spacing w:lineRule="auto" w:line="240" w:before="0" w:after="0"/>
              <w:ind w:start="64" w:hanging="48"/>
              <w:jc w:val="center"/>
              <w:rPr>
                <w:rFonts w:ascii="Tahoma" w:hAnsi="Tahoma" w:cs="Tahoma"/>
                <w:color w:val="000000" w:themeColor="text1"/>
                <w:sz w:val="18"/>
              </w:rPr>
            </w:pPr>
            <w:r>
              <w:rPr>
                <w:rFonts w:eastAsia="Times New Roman" w:cs="Tahoma" w:ascii="Tahoma" w:hAnsi="Tahoma"/>
                <w:b/>
                <w:color w:val="000000" w:themeColor="text1"/>
                <w:kern w:val="0"/>
                <w:sz w:val="18"/>
                <w:szCs w:val="22"/>
                <w:lang w:val="sr-Latn-RS" w:eastAsia="sr-Latn-RS" w:bidi="ar-SA"/>
              </w:rPr>
              <w:t>Показатељи исхода (базни) – 2021. год.</w:t>
            </w:r>
          </w:p>
        </w:tc>
        <w:tc>
          <w:tcPr>
            <w:tcW w:w="3795" w:type="dxa"/>
            <w:tcBorders>
              <w:top w:val="single" w:sz="4" w:space="0" w:color="000000"/>
              <w:start w:val="single" w:sz="4" w:space="0" w:color="000000"/>
              <w:bottom w:val="single" w:sz="4" w:space="0" w:color="000000"/>
              <w:end w:val="single" w:sz="4" w:space="0" w:color="000000"/>
            </w:tcBorders>
            <w:shd w:color="auto" w:fill="D9E2F3" w:val="clear"/>
          </w:tcPr>
          <w:p>
            <w:pPr>
              <w:pStyle w:val="Normal"/>
              <w:widowControl w:val="false"/>
              <w:suppressAutoHyphens w:val="true"/>
              <w:spacing w:lineRule="auto" w:line="235" w:before="0" w:after="49"/>
              <w:ind w:start="355" w:hanging="0"/>
              <w:jc w:val="center"/>
              <w:rPr>
                <w:rFonts w:ascii="Tahoma" w:hAnsi="Tahoma" w:cs="Tahoma"/>
                <w:color w:val="000000" w:themeColor="text1"/>
                <w:sz w:val="18"/>
              </w:rPr>
            </w:pPr>
            <w:r>
              <w:rPr>
                <w:rFonts w:eastAsia="Times New Roman" w:cs="Tahoma" w:ascii="Tahoma" w:hAnsi="Tahoma"/>
                <w:b/>
                <w:color w:val="000000" w:themeColor="text1"/>
                <w:kern w:val="0"/>
                <w:sz w:val="18"/>
                <w:szCs w:val="22"/>
                <w:lang w:val="sr-Latn-RS" w:eastAsia="sr-Latn-RS" w:bidi="ar-SA"/>
              </w:rPr>
              <w:t>Показатељи исхода</w:t>
            </w:r>
          </w:p>
          <w:p>
            <w:pPr>
              <w:pStyle w:val="Normal"/>
              <w:widowControl w:val="false"/>
              <w:suppressAutoHyphens w:val="true"/>
              <w:spacing w:lineRule="auto" w:line="240" w:before="0" w:after="0"/>
              <w:ind w:start="637" w:hanging="0"/>
              <w:jc w:val="center"/>
              <w:rPr>
                <w:rFonts w:ascii="Tahoma" w:hAnsi="Tahoma" w:cs="Tahoma"/>
                <w:color w:val="000000" w:themeColor="text1"/>
                <w:sz w:val="18"/>
              </w:rPr>
            </w:pPr>
            <w:r>
              <w:rPr>
                <w:rFonts w:eastAsia="Times New Roman" w:cs="Tahoma" w:ascii="Tahoma" w:hAnsi="Tahoma"/>
                <w:b/>
                <w:color w:val="000000" w:themeColor="text1"/>
                <w:kern w:val="0"/>
                <w:sz w:val="18"/>
                <w:szCs w:val="22"/>
                <w:lang w:val="sr-Latn-RS" w:eastAsia="sr-Latn-RS" w:bidi="ar-SA"/>
              </w:rPr>
              <w:t>(циљни) 20</w:t>
            </w:r>
            <w:r>
              <w:rPr>
                <w:rFonts w:eastAsia="Times New Roman" w:cs="Tahoma" w:ascii="Tahoma" w:hAnsi="Tahoma"/>
                <w:b/>
                <w:color w:val="000000" w:themeColor="text1"/>
                <w:kern w:val="0"/>
                <w:sz w:val="18"/>
                <w:szCs w:val="22"/>
                <w:lang w:val="sr-RS" w:eastAsia="sr-Latn-RS" w:bidi="ar-SA"/>
              </w:rPr>
              <w:t>30</w:t>
            </w:r>
            <w:r>
              <w:rPr>
                <w:rFonts w:eastAsia="Times New Roman" w:cs="Tahoma" w:ascii="Tahoma" w:hAnsi="Tahoma"/>
                <w:b/>
                <w:color w:val="000000" w:themeColor="text1"/>
                <w:kern w:val="0"/>
                <w:sz w:val="18"/>
                <w:szCs w:val="22"/>
                <w:lang w:val="sr-Latn-RS" w:eastAsia="sr-Latn-RS" w:bidi="ar-SA"/>
              </w:rPr>
              <w:t>.</w:t>
            </w:r>
          </w:p>
        </w:tc>
        <w:tc>
          <w:tcPr>
            <w:tcW w:w="3070" w:type="dxa"/>
            <w:tcBorders>
              <w:top w:val="single" w:sz="4" w:space="0" w:color="000000"/>
              <w:start w:val="single" w:sz="4" w:space="0" w:color="000000"/>
              <w:bottom w:val="single" w:sz="4" w:space="0" w:color="000000"/>
              <w:end w:val="single" w:sz="4" w:space="0" w:color="000000"/>
            </w:tcBorders>
            <w:shd w:color="auto" w:fill="D9E2F3" w:val="clear"/>
          </w:tcPr>
          <w:p>
            <w:pPr>
              <w:pStyle w:val="Normal"/>
              <w:widowControl w:val="false"/>
              <w:suppressAutoHyphens w:val="true"/>
              <w:spacing w:lineRule="auto" w:line="240" w:before="0" w:after="0"/>
              <w:ind w:end="322" w:hanging="0"/>
              <w:jc w:val="center"/>
              <w:rPr>
                <w:rFonts w:ascii="Tahoma" w:hAnsi="Tahoma" w:cs="Tahoma"/>
                <w:color w:val="000000" w:themeColor="text1"/>
                <w:sz w:val="18"/>
              </w:rPr>
            </w:pPr>
            <w:r>
              <w:rPr>
                <w:rFonts w:eastAsia="Times New Roman" w:cs="Tahoma" w:ascii="Tahoma" w:hAnsi="Tahoma"/>
                <w:b/>
                <w:color w:val="000000" w:themeColor="text1"/>
                <w:kern w:val="0"/>
                <w:sz w:val="18"/>
                <w:szCs w:val="22"/>
                <w:lang w:val="sr-Latn-RS" w:eastAsia="sr-Latn-RS" w:bidi="ar-SA"/>
              </w:rPr>
              <w:t>Допринос показатељима ЦОР 6 – Агенда 2030</w:t>
            </w:r>
          </w:p>
        </w:tc>
      </w:tr>
      <w:tr>
        <w:trPr>
          <w:trHeight w:val="1202" w:hRule="atLeast"/>
        </w:trPr>
        <w:tc>
          <w:tcPr>
            <w:tcW w:w="3119"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uppressAutoHyphens w:val="true"/>
              <w:spacing w:lineRule="auto" w:line="235" w:before="0" w:after="0"/>
              <w:jc w:val="start"/>
              <w:rPr>
                <w:rFonts w:ascii="Tahoma" w:hAnsi="Tahoma" w:cs="Tahoma"/>
                <w:sz w:val="18"/>
              </w:rPr>
            </w:pPr>
            <w:r>
              <w:rPr>
                <w:rFonts w:eastAsia="游明朝" w:cs="Tahoma" w:ascii="Tahoma" w:hAnsi="Tahoma"/>
                <w:kern w:val="0"/>
                <w:sz w:val="18"/>
                <w:szCs w:val="22"/>
                <w:lang w:val="sr-RS" w:eastAsia="sr-Latn-RS" w:bidi="ar-SA"/>
              </w:rPr>
              <w:t xml:space="preserve">1. </w:t>
            </w:r>
            <w:r>
              <w:rPr>
                <w:rFonts w:eastAsia="游明朝" w:cs="Tahoma" w:ascii="Tahoma" w:hAnsi="Tahoma"/>
                <w:kern w:val="0"/>
                <w:sz w:val="18"/>
                <w:szCs w:val="22"/>
                <w:lang w:val="sr-Latn-RS" w:eastAsia="sr-Latn-RS" w:bidi="ar-SA"/>
              </w:rPr>
              <w:t xml:space="preserve">Удео корисника социјалне заштите у укупној популацији у општини </w:t>
            </w:r>
            <w:r>
              <w:rPr>
                <w:rFonts w:eastAsia="游明朝" w:cs="Tahoma" w:ascii="Tahoma" w:hAnsi="Tahoma"/>
                <w:kern w:val="0"/>
                <w:sz w:val="18"/>
                <w:szCs w:val="22"/>
                <w:lang w:val="sr-RS" w:eastAsia="sr-Latn-RS" w:bidi="ar-SA"/>
              </w:rPr>
              <w:t xml:space="preserve">Беочин </w:t>
            </w:r>
            <w:r>
              <w:rPr>
                <w:rFonts w:eastAsia="游明朝" w:cs="Tahoma" w:ascii="Tahoma" w:hAnsi="Tahoma"/>
                <w:kern w:val="0"/>
                <w:sz w:val="18"/>
                <w:szCs w:val="22"/>
                <w:lang w:val="sr-Latn-RS" w:eastAsia="sr-Latn-RS" w:bidi="ar-SA"/>
              </w:rPr>
              <w:t>износи 1</w:t>
            </w:r>
            <w:r>
              <w:rPr>
                <w:rFonts w:eastAsia="游明朝" w:cs="Tahoma" w:ascii="Tahoma" w:hAnsi="Tahoma"/>
                <w:kern w:val="0"/>
                <w:sz w:val="18"/>
                <w:szCs w:val="22"/>
                <w:lang w:val="sr-RS" w:eastAsia="sr-Latn-RS" w:bidi="ar-SA"/>
              </w:rPr>
              <w:t>1</w:t>
            </w:r>
            <w:r>
              <w:rPr>
                <w:rFonts w:eastAsia="游明朝" w:cs="Tahoma" w:ascii="Tahoma" w:hAnsi="Tahoma"/>
                <w:kern w:val="0"/>
                <w:sz w:val="18"/>
                <w:szCs w:val="22"/>
                <w:lang w:val="sr-Latn-RS" w:eastAsia="sr-Latn-RS" w:bidi="ar-SA"/>
              </w:rPr>
              <w:t>.</w:t>
            </w:r>
            <w:r>
              <w:rPr>
                <w:rFonts w:eastAsia="游明朝" w:cs="Tahoma" w:ascii="Tahoma" w:hAnsi="Tahoma"/>
                <w:kern w:val="0"/>
                <w:sz w:val="18"/>
                <w:szCs w:val="22"/>
                <w:lang w:val="sr-RS" w:eastAsia="sr-Latn-RS" w:bidi="ar-SA"/>
              </w:rPr>
              <w:t>9</w:t>
            </w:r>
            <w:r>
              <w:rPr>
                <w:rFonts w:eastAsia="游明朝" w:cs="Tahoma" w:ascii="Tahoma" w:hAnsi="Tahoma"/>
                <w:kern w:val="0"/>
                <w:sz w:val="18"/>
                <w:szCs w:val="22"/>
                <w:lang w:val="sr-Latn-RS" w:eastAsia="sr-Latn-RS" w:bidi="ar-SA"/>
              </w:rPr>
              <w:t xml:space="preserve"> %</w:t>
            </w:r>
          </w:p>
          <w:p>
            <w:pPr>
              <w:pStyle w:val="Normal"/>
              <w:widowControl w:val="false"/>
              <w:suppressAutoHyphens w:val="true"/>
              <w:spacing w:lineRule="auto" w:line="240" w:before="0" w:after="0"/>
              <w:jc w:val="start"/>
              <w:rPr>
                <w:rFonts w:ascii="Tahoma" w:hAnsi="Tahoma" w:cs="Tahoma"/>
                <w:sz w:val="18"/>
              </w:rPr>
            </w:pPr>
            <w:r>
              <w:rPr>
                <w:rFonts w:eastAsia="游明朝" w:cs="Tahoma" w:ascii="Tahoma" w:hAnsi="Tahoma"/>
                <w:kern w:val="0"/>
                <w:sz w:val="18"/>
                <w:szCs w:val="22"/>
                <w:lang w:val="sr-Latn-RS" w:eastAsia="sr-Latn-RS" w:bidi="ar-SA"/>
              </w:rPr>
              <w:t>(</w:t>
            </w:r>
            <w:r>
              <w:rPr>
                <w:rFonts w:eastAsia="游明朝" w:cs="Tahoma" w:ascii="Tahoma" w:hAnsi="Tahoma"/>
                <w:kern w:val="0"/>
                <w:sz w:val="18"/>
                <w:szCs w:val="22"/>
                <w:lang w:val="sr-RS" w:eastAsia="sr-Latn-RS" w:bidi="ar-SA"/>
              </w:rPr>
              <w:t>Извор: Аналитички сервис ЈЛС, 2022</w:t>
            </w:r>
            <w:r>
              <w:rPr>
                <w:rFonts w:eastAsia="游明朝" w:cs="Tahoma" w:ascii="Tahoma" w:hAnsi="Tahoma"/>
                <w:kern w:val="0"/>
                <w:sz w:val="18"/>
                <w:szCs w:val="22"/>
                <w:lang w:val="sr-Latn-RS" w:eastAsia="sr-Latn-RS" w:bidi="ar-SA"/>
              </w:rPr>
              <w:t>.)</w:t>
            </w:r>
          </w:p>
        </w:tc>
        <w:tc>
          <w:tcPr>
            <w:tcW w:w="3795" w:type="dxa"/>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35" w:before="0" w:after="0"/>
              <w:jc w:val="start"/>
              <w:rPr>
                <w:rFonts w:ascii="Tahoma" w:hAnsi="Tahoma" w:cs="Tahoma"/>
                <w:sz w:val="18"/>
              </w:rPr>
            </w:pPr>
            <w:r>
              <w:rPr>
                <w:rFonts w:eastAsia="游明朝" w:cs="Tahoma" w:ascii="Tahoma" w:hAnsi="Tahoma"/>
                <w:kern w:val="0"/>
                <w:sz w:val="18"/>
                <w:szCs w:val="22"/>
                <w:lang w:val="sr-Latn-RS" w:eastAsia="sr-Latn-RS" w:bidi="ar-SA"/>
              </w:rPr>
              <w:t>Удео корисника социјалне заштите у</w:t>
            </w:r>
          </w:p>
          <w:p>
            <w:pPr>
              <w:pStyle w:val="Normal"/>
              <w:widowControl w:val="false"/>
              <w:suppressAutoHyphens w:val="true"/>
              <w:spacing w:lineRule="auto" w:line="240" w:before="0" w:after="0"/>
              <w:jc w:val="start"/>
              <w:rPr>
                <w:rFonts w:ascii="Tahoma" w:hAnsi="Tahoma" w:cs="Tahoma"/>
                <w:sz w:val="18"/>
              </w:rPr>
            </w:pPr>
            <w:r>
              <w:rPr>
                <w:rFonts w:eastAsia="游明朝" w:cs="Tahoma" w:ascii="Tahoma" w:hAnsi="Tahoma"/>
                <w:kern w:val="0"/>
                <w:sz w:val="18"/>
                <w:szCs w:val="22"/>
                <w:lang w:val="sr-Latn-RS" w:eastAsia="sr-Latn-RS" w:bidi="ar-SA"/>
              </w:rPr>
              <w:t>укупној популацији у</w:t>
            </w:r>
          </w:p>
          <w:p>
            <w:pPr>
              <w:pStyle w:val="Normal"/>
              <w:widowControl w:val="false"/>
              <w:suppressAutoHyphens w:val="true"/>
              <w:spacing w:lineRule="auto" w:line="240" w:before="0" w:after="0"/>
              <w:jc w:val="start"/>
              <w:rPr>
                <w:rFonts w:ascii="Tahoma" w:hAnsi="Tahoma" w:cs="Tahoma"/>
                <w:sz w:val="18"/>
              </w:rPr>
            </w:pPr>
            <w:r>
              <w:rPr>
                <w:rFonts w:eastAsia="游明朝" w:cs="Tahoma" w:ascii="Tahoma" w:hAnsi="Tahoma"/>
                <w:kern w:val="0"/>
                <w:sz w:val="18"/>
                <w:szCs w:val="22"/>
                <w:lang w:val="sr-Latn-RS" w:eastAsia="sr-Latn-RS" w:bidi="ar-SA"/>
              </w:rPr>
              <w:t xml:space="preserve">општини </w:t>
            </w:r>
            <w:r>
              <w:rPr>
                <w:rFonts w:eastAsia="游明朝" w:cs="Tahoma" w:ascii="Tahoma" w:hAnsi="Tahoma"/>
                <w:kern w:val="0"/>
                <w:sz w:val="18"/>
                <w:szCs w:val="22"/>
                <w:lang w:val="sr-RS" w:eastAsia="sr-Latn-RS" w:bidi="ar-SA"/>
              </w:rPr>
              <w:t>Беочин</w:t>
            </w:r>
            <w:r>
              <w:rPr>
                <w:rFonts w:eastAsia="游明朝" w:cs="Tahoma" w:ascii="Tahoma" w:hAnsi="Tahoma"/>
                <w:kern w:val="0"/>
                <w:sz w:val="18"/>
                <w:szCs w:val="22"/>
                <w:lang w:val="sr-Latn-RS" w:eastAsia="sr-Latn-RS" w:bidi="ar-SA"/>
              </w:rPr>
              <w:t xml:space="preserve"> износи</w:t>
            </w:r>
            <w:r>
              <w:rPr>
                <w:rFonts w:eastAsia="游明朝" w:cs="Tahoma" w:ascii="Tahoma" w:hAnsi="Tahoma"/>
                <w:kern w:val="0"/>
                <w:sz w:val="18"/>
                <w:szCs w:val="22"/>
                <w:lang w:val="sr-RS" w:eastAsia="sr-Latn-RS" w:bidi="ar-SA"/>
              </w:rPr>
              <w:t xml:space="preserve"> 18</w:t>
            </w:r>
            <w:r>
              <w:rPr>
                <w:rFonts w:eastAsia="游明朝" w:cs="Tahoma" w:ascii="Tahoma" w:hAnsi="Tahoma"/>
                <w:kern w:val="0"/>
                <w:sz w:val="18"/>
                <w:szCs w:val="22"/>
                <w:lang w:val="sr-Latn-RS" w:eastAsia="sr-Latn-RS" w:bidi="ar-SA"/>
              </w:rPr>
              <w:t xml:space="preserve"> %</w:t>
            </w:r>
          </w:p>
          <w:p>
            <w:pPr>
              <w:pStyle w:val="Normal"/>
              <w:widowControl w:val="false"/>
              <w:suppressAutoHyphens w:val="true"/>
              <w:spacing w:lineRule="auto" w:line="240" w:before="0" w:after="0"/>
              <w:jc w:val="start"/>
              <w:rPr>
                <w:rFonts w:ascii="Tahoma" w:hAnsi="Tahoma" w:cs="Tahoma"/>
                <w:sz w:val="18"/>
              </w:rPr>
            </w:pPr>
            <w:r>
              <w:rPr>
                <w:rFonts w:eastAsia="游明朝" w:cs="Tahoma" w:ascii="Tahoma" w:hAnsi="Tahoma"/>
                <w:kern w:val="0"/>
                <w:sz w:val="18"/>
                <w:szCs w:val="22"/>
                <w:lang w:val="sr-Latn-RS" w:eastAsia="sr-Latn-RS" w:bidi="ar-SA"/>
              </w:rPr>
              <w:t>(</w:t>
            </w:r>
            <w:r>
              <w:rPr>
                <w:rFonts w:eastAsia="游明朝" w:cs="Tahoma" w:ascii="Tahoma" w:hAnsi="Tahoma"/>
                <w:kern w:val="0"/>
                <w:sz w:val="18"/>
                <w:szCs w:val="22"/>
                <w:lang w:val="sr-RS" w:eastAsia="sr-Latn-RS" w:bidi="ar-SA"/>
              </w:rPr>
              <w:t>Извор: Аналитички сервис ЈЛС</w:t>
            </w:r>
            <w:r>
              <w:rPr>
                <w:rFonts w:eastAsia="游明朝" w:cs="Tahoma" w:ascii="Tahoma" w:hAnsi="Tahoma"/>
                <w:kern w:val="0"/>
                <w:sz w:val="18"/>
                <w:szCs w:val="22"/>
                <w:lang w:val="sr-Latn-RS" w:eastAsia="sr-Latn-RS" w:bidi="ar-SA"/>
              </w:rPr>
              <w:t>)</w:t>
            </w:r>
          </w:p>
        </w:tc>
        <w:tc>
          <w:tcPr>
            <w:tcW w:w="3070" w:type="dxa"/>
            <w:vMerge w:val="restart"/>
            <w:tcBorders>
              <w:top w:val="single" w:sz="4" w:space="0" w:color="000000"/>
              <w:start w:val="single" w:sz="4" w:space="0" w:color="000000"/>
              <w:bottom w:val="single" w:sz="4" w:space="0" w:color="000000"/>
              <w:end w:val="single" w:sz="4" w:space="0" w:color="000000"/>
            </w:tcBorders>
            <w:vAlign w:val="center"/>
          </w:tcPr>
          <w:p>
            <w:pPr>
              <w:pStyle w:val="Normal"/>
              <w:widowControl w:val="false"/>
              <w:suppressAutoHyphens w:val="true"/>
              <w:spacing w:lineRule="auto" w:line="235" w:before="0" w:after="0"/>
              <w:jc w:val="start"/>
              <w:rPr>
                <w:rFonts w:ascii="Tahoma" w:hAnsi="Tahoma" w:cs="Tahoma"/>
                <w:sz w:val="18"/>
              </w:rPr>
            </w:pPr>
            <w:r>
              <w:rPr>
                <w:rFonts w:eastAsia="游明朝" w:cs="Tahoma" w:ascii="Tahoma" w:hAnsi="Tahoma"/>
                <w:kern w:val="0"/>
                <w:sz w:val="18"/>
                <w:szCs w:val="22"/>
                <w:lang w:val="sr-Latn-RS" w:eastAsia="sr-Latn-RS" w:bidi="ar-SA"/>
              </w:rPr>
              <w:t>1.3.1.</w:t>
            </w:r>
          </w:p>
          <w:p>
            <w:pPr>
              <w:pStyle w:val="Normal"/>
              <w:widowControl w:val="false"/>
              <w:suppressAutoHyphens w:val="true"/>
              <w:spacing w:lineRule="auto" w:line="235" w:before="0" w:after="0"/>
              <w:jc w:val="start"/>
              <w:rPr>
                <w:rFonts w:ascii="Tahoma" w:hAnsi="Tahoma" w:cs="Tahoma"/>
                <w:sz w:val="18"/>
              </w:rPr>
            </w:pPr>
            <w:r>
              <w:rPr>
                <w:rFonts w:eastAsia="游明朝" w:cs="Tahoma" w:ascii="Tahoma" w:hAnsi="Tahoma"/>
                <w:kern w:val="0"/>
                <w:sz w:val="18"/>
                <w:szCs w:val="22"/>
                <w:lang w:val="sr-Latn-RS" w:eastAsia="sr-Latn-RS" w:bidi="ar-SA"/>
              </w:rPr>
              <w:t xml:space="preserve">Удео становника </w:t>
            </w:r>
            <w:r>
              <w:rPr>
                <w:rFonts w:eastAsia="游明朝" w:cs="Tahoma" w:ascii="Tahoma" w:hAnsi="Tahoma"/>
                <w:kern w:val="0"/>
                <w:sz w:val="18"/>
                <w:szCs w:val="22"/>
                <w:lang w:val="sr-RS" w:eastAsia="sr-Latn-RS" w:bidi="ar-SA"/>
              </w:rPr>
              <w:t>о</w:t>
            </w:r>
            <w:r>
              <w:rPr>
                <w:rFonts w:eastAsia="游明朝" w:cs="Tahoma" w:ascii="Tahoma" w:hAnsi="Tahoma"/>
                <w:kern w:val="0"/>
                <w:sz w:val="18"/>
                <w:szCs w:val="22"/>
                <w:lang w:val="sr-Latn-RS" w:eastAsia="sr-Latn-RS" w:bidi="ar-SA"/>
              </w:rPr>
              <w:t>бухваћених систем</w:t>
            </w:r>
            <w:r>
              <w:rPr>
                <w:rFonts w:eastAsia="游明朝" w:cs="Tahoma" w:ascii="Tahoma" w:hAnsi="Tahoma"/>
                <w:kern w:val="0"/>
                <w:sz w:val="18"/>
                <w:szCs w:val="22"/>
                <w:lang w:val="sr-RS" w:eastAsia="sr-Latn-RS" w:bidi="ar-SA"/>
              </w:rPr>
              <w:t xml:space="preserve">ом </w:t>
            </w:r>
            <w:r>
              <w:rPr>
                <w:rFonts w:eastAsia="游明朝" w:cs="Tahoma" w:ascii="Tahoma" w:hAnsi="Tahoma"/>
                <w:kern w:val="0"/>
                <w:sz w:val="18"/>
                <w:szCs w:val="22"/>
                <w:lang w:val="sr-Latn-RS" w:eastAsia="sr-Latn-RS" w:bidi="ar-SA"/>
              </w:rPr>
              <w:t>социјалне заштите, по полу, уз разликовање деце, незапослених лица,</w:t>
            </w:r>
            <w:r>
              <w:rPr>
                <w:rFonts w:eastAsia="游明朝" w:cs="Tahoma" w:ascii="Tahoma" w:hAnsi="Tahoma"/>
                <w:kern w:val="0"/>
                <w:sz w:val="18"/>
                <w:szCs w:val="22"/>
                <w:lang w:val="sr-RS" w:eastAsia="sr-Latn-RS" w:bidi="ar-SA"/>
              </w:rPr>
              <w:t xml:space="preserve"> </w:t>
            </w:r>
            <w:r>
              <w:rPr>
                <w:rFonts w:eastAsia="游明朝" w:cs="Tahoma" w:ascii="Tahoma" w:hAnsi="Tahoma"/>
                <w:kern w:val="0"/>
                <w:sz w:val="18"/>
                <w:szCs w:val="22"/>
                <w:lang w:val="sr-Latn-RS" w:eastAsia="sr-Latn-RS" w:bidi="ar-SA"/>
              </w:rPr>
              <w:t>старијих лица, особа са</w:t>
            </w:r>
            <w:r>
              <w:rPr>
                <w:rFonts w:eastAsia="游明朝" w:cs="Tahoma" w:ascii="Tahoma" w:hAnsi="Tahoma"/>
                <w:kern w:val="0"/>
                <w:sz w:val="18"/>
                <w:szCs w:val="22"/>
                <w:lang w:val="sr-RS" w:eastAsia="sr-Latn-RS" w:bidi="ar-SA"/>
              </w:rPr>
              <w:t xml:space="preserve"> </w:t>
            </w:r>
            <w:r>
              <w:rPr>
                <w:rFonts w:eastAsia="游明朝" w:cs="Tahoma" w:ascii="Tahoma" w:hAnsi="Tahoma"/>
                <w:kern w:val="0"/>
                <w:sz w:val="18"/>
                <w:szCs w:val="22"/>
                <w:lang w:val="sr-Latn-RS" w:eastAsia="sr-Latn-RS" w:bidi="ar-SA"/>
              </w:rPr>
              <w:t>инвалидитетом, трудница,</w:t>
            </w:r>
            <w:r>
              <w:rPr>
                <w:rFonts w:eastAsia="游明朝" w:cs="Tahoma" w:ascii="Tahoma" w:hAnsi="Tahoma"/>
                <w:kern w:val="0"/>
                <w:sz w:val="18"/>
                <w:szCs w:val="22"/>
                <w:lang w:val="sr-RS" w:eastAsia="sr-Latn-RS" w:bidi="ar-SA"/>
              </w:rPr>
              <w:t xml:space="preserve"> </w:t>
            </w:r>
            <w:r>
              <w:rPr>
                <w:rFonts w:eastAsia="游明朝" w:cs="Tahoma" w:ascii="Tahoma" w:hAnsi="Tahoma"/>
                <w:kern w:val="0"/>
                <w:sz w:val="18"/>
                <w:szCs w:val="22"/>
                <w:lang w:val="sr-Latn-RS" w:eastAsia="sr-Latn-RS" w:bidi="ar-SA"/>
              </w:rPr>
              <w:t>новорођенчади, жртава повреда на раду, као и сиромашних и угрожених</w:t>
            </w:r>
          </w:p>
        </w:tc>
      </w:tr>
      <w:tr>
        <w:trPr>
          <w:trHeight w:val="1479" w:hRule="atLeast"/>
        </w:trPr>
        <w:tc>
          <w:tcPr>
            <w:tcW w:w="3119" w:type="dxa"/>
            <w:tcBorders>
              <w:top w:val="single" w:sz="4" w:space="0" w:color="000000"/>
              <w:start w:val="single" w:sz="4" w:space="0" w:color="000000"/>
              <w:bottom w:val="single" w:sz="4" w:space="0" w:color="000000"/>
              <w:end w:val="single" w:sz="4" w:space="0" w:color="000000"/>
            </w:tcBorders>
            <w:vAlign w:val="center"/>
          </w:tcPr>
          <w:p>
            <w:pPr>
              <w:pStyle w:val="Normal"/>
              <w:widowControl w:val="false"/>
              <w:suppressAutoHyphens w:val="true"/>
              <w:spacing w:lineRule="auto" w:line="276" w:before="0" w:after="1"/>
              <w:jc w:val="start"/>
              <w:rPr>
                <w:rFonts w:ascii="Tahoma" w:hAnsi="Tahoma" w:cs="Tahoma"/>
                <w:sz w:val="18"/>
                <w:lang w:val="sr-RS"/>
              </w:rPr>
            </w:pPr>
            <w:r>
              <w:rPr>
                <w:rFonts w:eastAsia="游明朝" w:cs="Tahoma" w:ascii="Tahoma" w:hAnsi="Tahoma"/>
                <w:kern w:val="0"/>
                <w:sz w:val="18"/>
                <w:szCs w:val="22"/>
                <w:lang w:val="sr-RS" w:eastAsia="sr-Latn-RS" w:bidi="ar-SA"/>
              </w:rPr>
              <w:t xml:space="preserve">2. </w:t>
            </w:r>
            <w:r>
              <w:rPr>
                <w:rFonts w:eastAsia="游明朝" w:cs="Tahoma" w:ascii="Tahoma" w:hAnsi="Tahoma"/>
                <w:kern w:val="0"/>
                <w:sz w:val="18"/>
                <w:szCs w:val="22"/>
                <w:lang w:val="sr-Latn-RS" w:eastAsia="sr-Latn-RS" w:bidi="ar-SA"/>
              </w:rPr>
              <w:t xml:space="preserve">У општини </w:t>
            </w:r>
            <w:r>
              <w:rPr>
                <w:rFonts w:eastAsia="游明朝" w:cs="Tahoma" w:ascii="Tahoma" w:hAnsi="Tahoma"/>
                <w:kern w:val="0"/>
                <w:sz w:val="18"/>
                <w:szCs w:val="22"/>
                <w:lang w:val="sr-RS" w:eastAsia="sr-Latn-RS" w:bidi="ar-SA"/>
              </w:rPr>
              <w:t>Беочин</w:t>
            </w:r>
            <w:r>
              <w:rPr>
                <w:rFonts w:eastAsia="游明朝" w:cs="Tahoma" w:ascii="Tahoma" w:hAnsi="Tahoma"/>
                <w:kern w:val="0"/>
                <w:sz w:val="18"/>
                <w:szCs w:val="22"/>
                <w:lang w:val="sr-Latn-RS" w:eastAsia="sr-Latn-RS" w:bidi="ar-SA"/>
              </w:rPr>
              <w:t xml:space="preserve"> се пружа</w:t>
            </w:r>
            <w:r>
              <w:rPr>
                <w:rFonts w:eastAsia="游明朝" w:cs="Tahoma" w:ascii="Tahoma" w:hAnsi="Tahoma"/>
                <w:kern w:val="0"/>
                <w:sz w:val="18"/>
                <w:szCs w:val="22"/>
                <w:lang w:val="sr-RS" w:eastAsia="sr-Latn-RS" w:bidi="ar-SA"/>
              </w:rPr>
              <w:t xml:space="preserve"> једна услуга социјалне заштите:</w:t>
            </w:r>
          </w:p>
          <w:p>
            <w:pPr>
              <w:pStyle w:val="Normal"/>
              <w:widowControl w:val="false"/>
              <w:suppressAutoHyphens w:val="true"/>
              <w:spacing w:lineRule="auto" w:line="276" w:before="0" w:after="1"/>
              <w:jc w:val="start"/>
              <w:rPr>
                <w:rFonts w:ascii="Tahoma" w:hAnsi="Tahoma" w:cs="Tahoma"/>
                <w:sz w:val="18"/>
                <w:lang w:val="sr-RS"/>
              </w:rPr>
            </w:pPr>
            <w:r>
              <w:rPr>
                <w:rFonts w:eastAsia="游明朝" w:cs="Tahoma" w:ascii="Tahoma" w:hAnsi="Tahoma"/>
                <w:kern w:val="0"/>
                <w:sz w:val="18"/>
                <w:szCs w:val="22"/>
                <w:lang w:val="sr-Latn-RS" w:eastAsia="sr-Latn-RS" w:bidi="ar-SA"/>
              </w:rPr>
              <w:t>Лични пратилац</w:t>
            </w:r>
            <w:r>
              <w:rPr>
                <w:rFonts w:eastAsia="游明朝" w:cs="Tahoma" w:ascii="Tahoma" w:hAnsi="Tahoma"/>
                <w:kern w:val="0"/>
                <w:sz w:val="18"/>
                <w:szCs w:val="22"/>
                <w:lang w:val="sr-RS" w:eastAsia="sr-Latn-RS" w:bidi="ar-SA"/>
              </w:rPr>
              <w:t xml:space="preserve"> детета</w:t>
            </w:r>
          </w:p>
          <w:p>
            <w:pPr>
              <w:pStyle w:val="Normal"/>
              <w:widowControl w:val="false"/>
              <w:suppressAutoHyphens w:val="true"/>
              <w:spacing w:lineRule="auto" w:line="276" w:before="0" w:after="1"/>
              <w:jc w:val="start"/>
              <w:rPr>
                <w:rFonts w:ascii="Tahoma" w:hAnsi="Tahoma" w:cs="Tahoma"/>
                <w:sz w:val="18"/>
                <w:lang w:val="sr-RS"/>
              </w:rPr>
            </w:pPr>
            <w:r>
              <w:rPr>
                <w:rFonts w:eastAsia="游明朝" w:cs="Tahoma" w:ascii="Tahoma" w:hAnsi="Tahoma"/>
                <w:kern w:val="0"/>
                <w:sz w:val="18"/>
                <w:szCs w:val="22"/>
                <w:lang w:val="sr-RS" w:eastAsia="sr-Latn-RS" w:bidi="ar-SA"/>
              </w:rPr>
              <w:t>(Извор: Извештај о извршењу буџета општине, 2023.)</w:t>
            </w:r>
          </w:p>
          <w:p>
            <w:pPr>
              <w:pStyle w:val="Normal"/>
              <w:widowControl w:val="false"/>
              <w:suppressAutoHyphens w:val="true"/>
              <w:spacing w:lineRule="auto" w:line="276" w:before="0" w:after="1"/>
              <w:jc w:val="start"/>
              <w:rPr>
                <w:rFonts w:ascii="Tahoma" w:hAnsi="Tahoma" w:cs="Tahoma"/>
                <w:sz w:val="18"/>
                <w:lang w:val="sr-RS"/>
              </w:rPr>
            </w:pPr>
            <w:r>
              <w:rPr>
                <w:rFonts w:cs="Tahoma" w:ascii="Tahoma" w:hAnsi="Tahoma"/>
                <w:sz w:val="18"/>
                <w:lang w:val="sr-RS"/>
              </w:rPr>
            </w:r>
          </w:p>
          <w:p>
            <w:pPr>
              <w:pStyle w:val="Normal"/>
              <w:widowControl w:val="false"/>
              <w:suppressAutoHyphens w:val="true"/>
              <w:spacing w:lineRule="auto" w:line="276" w:before="0" w:after="1"/>
              <w:jc w:val="start"/>
              <w:rPr>
                <w:rFonts w:ascii="Tahoma" w:hAnsi="Tahoma" w:cs="Tahoma"/>
                <w:sz w:val="18"/>
                <w:lang w:val="sr-RS"/>
              </w:rPr>
            </w:pPr>
            <w:r>
              <w:rPr>
                <w:rFonts w:cs="Tahoma" w:ascii="Tahoma" w:hAnsi="Tahoma"/>
                <w:sz w:val="18"/>
                <w:lang w:val="sr-RS"/>
              </w:rPr>
            </w:r>
          </w:p>
          <w:p>
            <w:pPr>
              <w:pStyle w:val="Normal"/>
              <w:widowControl w:val="false"/>
              <w:suppressAutoHyphens w:val="true"/>
              <w:spacing w:lineRule="auto" w:line="276" w:before="0" w:after="1"/>
              <w:jc w:val="start"/>
              <w:rPr>
                <w:rFonts w:ascii="Tahoma" w:hAnsi="Tahoma" w:cs="Tahoma"/>
                <w:sz w:val="18"/>
                <w:lang w:val="sr-RS"/>
              </w:rPr>
            </w:pPr>
            <w:r>
              <w:rPr>
                <w:rFonts w:cs="Tahoma" w:ascii="Tahoma" w:hAnsi="Tahoma"/>
                <w:sz w:val="18"/>
                <w:lang w:val="sr-RS"/>
              </w:rPr>
            </w:r>
          </w:p>
        </w:tc>
        <w:tc>
          <w:tcPr>
            <w:tcW w:w="3795" w:type="dxa"/>
            <w:tcBorders>
              <w:top w:val="single" w:sz="4" w:space="0" w:color="000000"/>
              <w:start w:val="single" w:sz="4" w:space="0" w:color="000000"/>
              <w:bottom w:val="single" w:sz="4" w:space="0" w:color="000000"/>
              <w:end w:val="single" w:sz="4" w:space="0" w:color="000000"/>
            </w:tcBorders>
          </w:tcPr>
          <w:p>
            <w:pPr>
              <w:pStyle w:val="Normal"/>
              <w:widowControl w:val="false"/>
              <w:suppressAutoHyphens w:val="true"/>
              <w:spacing w:lineRule="auto" w:line="240" w:before="0" w:after="21"/>
              <w:jc w:val="start"/>
              <w:rPr>
                <w:rFonts w:ascii="Tahoma" w:hAnsi="Tahoma" w:cs="Tahoma"/>
                <w:sz w:val="18"/>
                <w:lang w:val="sr-RS"/>
              </w:rPr>
            </w:pPr>
            <w:r>
              <w:rPr>
                <w:rFonts w:eastAsia="游明朝" w:cs="Tahoma" w:ascii="Tahoma" w:hAnsi="Tahoma"/>
                <w:kern w:val="0"/>
                <w:sz w:val="18"/>
                <w:szCs w:val="22"/>
                <w:lang w:val="sr-RS" w:eastAsia="sr-Latn-RS" w:bidi="ar-SA"/>
              </w:rPr>
              <w:t>У општини Беочин се пружају најмање две услуге социјалне заштите, у складу  са Законом о социјалној заштити:</w:t>
            </w:r>
          </w:p>
          <w:p>
            <w:pPr>
              <w:pStyle w:val="ListParagraph"/>
              <w:widowControl w:val="false"/>
              <w:numPr>
                <w:ilvl w:val="0"/>
                <w:numId w:val="13"/>
              </w:numPr>
              <w:suppressAutoHyphens w:val="true"/>
              <w:spacing w:lineRule="auto" w:line="240" w:before="0" w:after="21"/>
              <w:contextualSpacing/>
              <w:jc w:val="start"/>
              <w:rPr>
                <w:rFonts w:ascii="Tahoma" w:hAnsi="Tahoma" w:cs="Tahoma"/>
                <w:sz w:val="18"/>
                <w:lang w:val="sr-RS"/>
              </w:rPr>
            </w:pPr>
            <w:r>
              <w:rPr>
                <w:rFonts w:eastAsia="游明朝" w:cs="Tahoma" w:ascii="Tahoma" w:hAnsi="Tahoma"/>
                <w:kern w:val="0"/>
                <w:sz w:val="18"/>
                <w:szCs w:val="22"/>
                <w:lang w:val="sr-RS" w:eastAsia="sr-Latn-RS" w:bidi="ar-SA"/>
              </w:rPr>
              <w:t>Помоћ у кући за одрасла и стара лица,</w:t>
            </w:r>
          </w:p>
          <w:p>
            <w:pPr>
              <w:pStyle w:val="ListParagraph"/>
              <w:widowControl w:val="false"/>
              <w:numPr>
                <w:ilvl w:val="0"/>
                <w:numId w:val="13"/>
              </w:numPr>
              <w:suppressAutoHyphens w:val="true"/>
              <w:spacing w:lineRule="auto" w:line="240" w:before="0" w:after="21"/>
              <w:contextualSpacing/>
              <w:jc w:val="start"/>
              <w:rPr>
                <w:rFonts w:ascii="Tahoma" w:hAnsi="Tahoma" w:cs="Tahoma"/>
                <w:sz w:val="18"/>
                <w:lang w:val="sr-RS"/>
              </w:rPr>
            </w:pPr>
            <w:r>
              <w:rPr>
                <w:rFonts w:eastAsia="游明朝" w:cs="Tahoma" w:ascii="Tahoma" w:hAnsi="Tahoma"/>
                <w:kern w:val="0"/>
                <w:sz w:val="18"/>
                <w:szCs w:val="22"/>
                <w:lang w:val="sr-RS" w:eastAsia="sr-Latn-RS" w:bidi="ar-SA"/>
              </w:rPr>
              <w:t>Лични пратилац,</w:t>
            </w:r>
          </w:p>
          <w:p>
            <w:pPr>
              <w:pStyle w:val="Normal"/>
              <w:widowControl w:val="false"/>
              <w:suppressAutoHyphens w:val="true"/>
              <w:spacing w:lineRule="auto" w:line="240" w:before="0" w:after="18"/>
              <w:ind w:start="28" w:hanging="0"/>
              <w:jc w:val="start"/>
              <w:rPr>
                <w:rFonts w:ascii="Tahoma" w:hAnsi="Tahoma" w:cs="Tahoma"/>
                <w:sz w:val="18"/>
                <w:lang w:val="sr-RS"/>
              </w:rPr>
            </w:pPr>
            <w:r>
              <w:rPr>
                <w:rFonts w:eastAsia="游明朝" w:cs="Tahoma" w:ascii="Tahoma" w:hAnsi="Tahoma"/>
                <w:kern w:val="0"/>
                <w:sz w:val="18"/>
                <w:szCs w:val="22"/>
                <w:lang w:val="sr-RS" w:eastAsia="sr-Latn-RS" w:bidi="ar-SA"/>
              </w:rPr>
              <w:t>(Извор: Извештај о извршењу буџета општине)</w:t>
            </w:r>
          </w:p>
        </w:tc>
        <w:tc>
          <w:tcPr>
            <w:tcW w:w="3070" w:type="dxa"/>
            <w:vMerge w:val="continue"/>
            <w:tcBorders>
              <w:start w:val="single" w:sz="4" w:space="0" w:color="000000"/>
              <w:bottom w:val="single" w:sz="4" w:space="0" w:color="000000"/>
              <w:end w:val="single" w:sz="4" w:space="0" w:color="000000"/>
            </w:tcBorders>
          </w:tcPr>
          <w:p>
            <w:pPr>
              <w:pStyle w:val="Normal"/>
              <w:widowControl w:val="false"/>
              <w:suppressAutoHyphens w:val="true"/>
              <w:spacing w:lineRule="auto" w:line="240" w:before="0" w:after="0"/>
              <w:jc w:val="start"/>
              <w:rPr>
                <w:rFonts w:ascii="Tahoma" w:hAnsi="Tahoma" w:cs="Tahoma"/>
                <w:sz w:val="18"/>
                <w:lang w:val="sr-RS"/>
              </w:rPr>
            </w:pPr>
            <w:r>
              <w:rPr>
                <w:rFonts w:cs="Tahoma" w:ascii="Tahoma" w:hAnsi="Tahoma"/>
                <w:sz w:val="18"/>
                <w:lang w:val="sr-RS"/>
              </w:rPr>
            </w:r>
          </w:p>
        </w:tc>
      </w:tr>
    </w:tbl>
    <w:p>
      <w:pPr>
        <w:pStyle w:val="Normal"/>
        <w:spacing w:lineRule="auto" w:line="240" w:before="0" w:after="0"/>
        <w:jc w:val="both"/>
        <w:rPr>
          <w:rFonts w:ascii="Tahoma" w:hAnsi="Tahoma" w:cs="Tahoma"/>
          <w:b/>
          <w:b/>
          <w:sz w:val="20"/>
          <w:szCs w:val="20"/>
          <w:lang w:val="sr-Latn-RS"/>
        </w:rPr>
      </w:pPr>
      <w:r>
        <w:rPr>
          <w:rFonts w:cs="Tahoma" w:ascii="Tahoma" w:hAnsi="Tahoma"/>
          <w:b/>
          <w:sz w:val="20"/>
          <w:szCs w:val="20"/>
          <w:lang w:val="sr-Latn-RS"/>
        </w:rPr>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Програм предвиђа развој нових услуга које су усклађене са локалним потребама. Такође, акценат је на осигурању да постојеће услуге, попут личног пратиоца за децу са сметњама у развоју и помоћи у кући за старије особе, буду обезбеђене у складу  са Законом о социјалној заштити и доступне широј групи корисника. Програм предвиђа повећање буџетских издвајања за социјалну заштиту, као и укључивање националних и међународних донатора у финансирање специфичних услуга.  </w:t>
      </w:r>
    </w:p>
    <w:p>
      <w:pPr>
        <w:pStyle w:val="Normal"/>
        <w:spacing w:lineRule="auto" w:line="240" w:before="0" w:after="0"/>
        <w:jc w:val="both"/>
        <w:rPr>
          <w:rFonts w:ascii="Tahoma" w:hAnsi="Tahoma" w:cs="Tahoma"/>
          <w:b/>
          <w:b/>
          <w:szCs w:val="20"/>
          <w:lang w:val="sr-RS"/>
        </w:rPr>
      </w:pPr>
      <w:r>
        <w:rPr>
          <w:rFonts w:cs="Tahoma" w:ascii="Tahoma" w:hAnsi="Tahoma"/>
          <w:b/>
          <w:szCs w:val="20"/>
          <w:lang w:val="sr-RS"/>
        </w:rPr>
      </w:r>
    </w:p>
    <w:p>
      <w:pPr>
        <w:pStyle w:val="Normal"/>
        <w:spacing w:lineRule="auto" w:line="240" w:before="0" w:after="0"/>
        <w:rPr>
          <w:rFonts w:ascii="Tahoma" w:hAnsi="Tahoma" w:cs="Tahoma"/>
          <w:b/>
          <w:b/>
          <w:sz w:val="20"/>
          <w:szCs w:val="20"/>
          <w:lang w:val="sr-RS"/>
        </w:rPr>
      </w:pPr>
      <w:r>
        <w:rPr>
          <w:rFonts w:eastAsia="Calibri" w:cs="Tahoma" w:ascii="Tahoma" w:hAnsi="Tahoma"/>
          <w:b/>
          <w:sz w:val="20"/>
          <w:szCs w:val="20"/>
          <w:lang w:val="sr-RS"/>
        </w:rPr>
        <w:t xml:space="preserve">ПОСЕБНИ ЦИЉ 1: </w:t>
      </w:r>
      <w:r>
        <w:rPr>
          <w:rFonts w:eastAsia="Times New Roman" w:cs="Tahoma" w:ascii="Tahoma" w:hAnsi="Tahoma"/>
          <w:b/>
          <w:bCs/>
          <w:sz w:val="20"/>
          <w:szCs w:val="20"/>
          <w:lang w:val="sr-RS" w:eastAsia="sr-Latn-RS"/>
        </w:rPr>
        <w:t>Развој институционалних капацитета и сарадње за унапређење система социјалне заштите</w:t>
      </w:r>
      <w:r>
        <w:rPr>
          <w:rFonts w:eastAsia="Calibri" w:cs="Tahoma" w:ascii="Tahoma" w:hAnsi="Tahoma"/>
          <w:b/>
          <w:sz w:val="20"/>
          <w:szCs w:val="20"/>
          <w:lang w:val="sr-RS"/>
        </w:rPr>
        <w:tab/>
      </w:r>
    </w:p>
    <w:p>
      <w:pPr>
        <w:pStyle w:val="Normal"/>
        <w:spacing w:lineRule="auto" w:line="240" w:before="0" w:after="0"/>
        <w:rPr>
          <w:rFonts w:ascii="Tahoma" w:hAnsi="Tahoma" w:eastAsia="Calibri" w:cs="Tahoma"/>
          <w:sz w:val="20"/>
          <w:szCs w:val="20"/>
          <w:lang w:val="sr-RS"/>
        </w:rPr>
      </w:pPr>
      <w:r>
        <w:rPr>
          <w:rFonts w:eastAsia="Calibri" w:cs="Tahoma" w:ascii="Tahoma" w:hAnsi="Tahoma"/>
          <w:sz w:val="20"/>
          <w:szCs w:val="20"/>
          <w:lang w:val="sr-RS"/>
        </w:rPr>
      </w:r>
    </w:p>
    <w:p>
      <w:pPr>
        <w:pStyle w:val="Normal"/>
        <w:spacing w:lineRule="auto" w:line="240" w:before="0" w:after="0"/>
        <w:jc w:val="both"/>
        <w:rPr>
          <w:rFonts w:ascii="Tahoma" w:hAnsi="Tahoma" w:eastAsia="Calibri" w:cs="Tahoma"/>
          <w:sz w:val="20"/>
          <w:szCs w:val="20"/>
          <w:lang w:val="sr-RS"/>
        </w:rPr>
      </w:pPr>
      <w:r>
        <w:rPr>
          <w:rFonts w:eastAsia="Calibri" w:cs="Tahoma" w:ascii="Tahoma" w:hAnsi="Tahoma"/>
          <w:sz w:val="20"/>
          <w:szCs w:val="20"/>
          <w:lang w:val="sr-RS"/>
        </w:rPr>
        <w:t>Овим циљем предвиђено је успостављање нових механизама за унапређење социјалне заштите у општини Беочин</w:t>
      </w:r>
      <w:r>
        <w:rPr>
          <w:rFonts w:cs="Tahoma" w:ascii="Tahoma" w:hAnsi="Tahoma"/>
          <w:sz w:val="20"/>
          <w:szCs w:val="20"/>
          <w:lang w:val="sr-RS"/>
        </w:rPr>
        <w:t xml:space="preserve"> </w:t>
      </w:r>
      <w:r>
        <w:rPr>
          <w:rFonts w:eastAsia="Calibri" w:cs="Tahoma" w:ascii="Tahoma" w:hAnsi="Tahoma"/>
          <w:sz w:val="20"/>
          <w:szCs w:val="20"/>
          <w:lang w:val="sr-RS"/>
        </w:rPr>
        <w:t xml:space="preserve">односно оснивање  Савета за социјалну политику, израда и примена нових стандардизованих процедура и алати за праћење квалитета услуга и евалуацију задовољства корисника, као и успостављање сарадње и размена добрих пракси у области социјалне заштите са другим јединицама локалне самоуправе. Свеукупно, капацитети општине Беочин ће кроз ове мере бити унапређени како би се систем социјалне заштите даље развијао и одговорио на потребе грађана. </w:t>
      </w:r>
    </w:p>
    <w:p>
      <w:pPr>
        <w:pStyle w:val="Normal"/>
        <w:spacing w:lineRule="auto" w:line="240" w:before="0" w:after="0"/>
        <w:jc w:val="both"/>
        <w:rPr>
          <w:rFonts w:ascii="Tahoma" w:hAnsi="Tahoma" w:eastAsia="Calibri" w:cs="Tahoma"/>
          <w:sz w:val="20"/>
          <w:szCs w:val="20"/>
          <w:lang w:val="sr-RS"/>
        </w:rPr>
      </w:pPr>
      <w:r>
        <w:rPr>
          <w:rFonts w:eastAsia="Calibri" w:cs="Tahoma" w:ascii="Tahoma" w:hAnsi="Tahoma"/>
          <w:sz w:val="20"/>
          <w:szCs w:val="20"/>
          <w:lang w:val="sr-RS"/>
        </w:rPr>
      </w:r>
    </w:p>
    <w:p>
      <w:pPr>
        <w:pStyle w:val="Normal"/>
        <w:spacing w:lineRule="auto" w:line="240" w:before="0" w:after="0"/>
        <w:jc w:val="both"/>
        <w:rPr>
          <w:sz w:val="20"/>
          <w:szCs w:val="20"/>
          <w:lang w:val="sr-RS"/>
        </w:rPr>
      </w:pPr>
      <w:r>
        <w:rPr>
          <w:rFonts w:eastAsia="Calibri" w:cs="Tahoma" w:ascii="Tahoma" w:hAnsi="Tahoma"/>
          <w:sz w:val="20"/>
          <w:szCs w:val="20"/>
          <w:lang w:val="sr-RS"/>
        </w:rPr>
        <w:t xml:space="preserve">Мере у оквиру овог циља су: </w:t>
      </w:r>
    </w:p>
    <w:p>
      <w:pPr>
        <w:pStyle w:val="Normal"/>
        <w:spacing w:lineRule="auto" w:line="240" w:before="0" w:after="0"/>
        <w:jc w:val="center"/>
        <w:rPr>
          <w:sz w:val="20"/>
          <w:szCs w:val="20"/>
          <w:lang w:val="sr-RS"/>
        </w:rPr>
      </w:pPr>
      <w:r>
        <w:rPr>
          <w:sz w:val="20"/>
          <w:szCs w:val="20"/>
          <w:lang w:val="sr-RS"/>
        </w:rPr>
      </w:r>
    </w:p>
    <w:p>
      <w:pPr>
        <w:pStyle w:val="Normal"/>
        <w:spacing w:lineRule="auto" w:line="240" w:before="0" w:after="0"/>
        <w:ind w:start="567" w:hanging="0"/>
        <w:jc w:val="both"/>
        <w:rPr>
          <w:sz w:val="20"/>
          <w:szCs w:val="20"/>
          <w:lang w:val="sr-RS"/>
        </w:rPr>
      </w:pPr>
      <w:r>
        <w:rPr>
          <w:rFonts w:eastAsia="Calibri" w:cs="Tahoma" w:ascii="Tahoma" w:hAnsi="Tahoma"/>
          <w:sz w:val="20"/>
          <w:szCs w:val="20"/>
          <w:lang w:val="sr-RS"/>
        </w:rPr>
        <w:t xml:space="preserve">Мера 1.1: . </w:t>
      </w:r>
      <w:r>
        <w:rPr>
          <w:rFonts w:eastAsia="Times New Roman" w:cs="Tahoma" w:ascii="Tahoma" w:hAnsi="Tahoma"/>
          <w:sz w:val="20"/>
          <w:szCs w:val="20"/>
          <w:lang w:val="sr-RS" w:eastAsia="sr-Latn-RS"/>
        </w:rPr>
        <w:t>Јачање кадровских и организационих капацитета општинске управе за спровођење политике унапређења социјалне заштите</w:t>
      </w:r>
    </w:p>
    <w:p>
      <w:pPr>
        <w:pStyle w:val="Normal"/>
        <w:spacing w:lineRule="auto" w:line="240" w:before="0" w:after="0"/>
        <w:ind w:start="567" w:hanging="0"/>
        <w:jc w:val="both"/>
        <w:rPr>
          <w:rFonts w:ascii="Tahoma" w:hAnsi="Tahoma" w:cs="Tahoma"/>
          <w:sz w:val="20"/>
          <w:szCs w:val="20"/>
          <w:lang w:val="sr-RS"/>
        </w:rPr>
      </w:pPr>
      <w:r>
        <w:rPr>
          <w:rFonts w:eastAsia="Calibri" w:cs="Tahoma" w:ascii="Tahoma" w:hAnsi="Tahoma"/>
          <w:sz w:val="20"/>
          <w:szCs w:val="20"/>
          <w:lang w:val="sr-RS"/>
        </w:rPr>
        <w:t xml:space="preserve">Мера 1.2. </w:t>
      </w:r>
      <w:r>
        <w:rPr>
          <w:rFonts w:eastAsia="Times New Roman" w:cs="Tahoma" w:ascii="Tahoma" w:hAnsi="Tahoma"/>
          <w:sz w:val="20"/>
          <w:szCs w:val="20"/>
          <w:lang w:val="sr-RS" w:eastAsia="sr-Latn-RS"/>
        </w:rPr>
        <w:t xml:space="preserve">Унапређење услова за обављање делатности центра за социјални рад у општини Беочин </w:t>
      </w:r>
    </w:p>
    <w:p>
      <w:pPr>
        <w:pStyle w:val="Normal"/>
        <w:spacing w:lineRule="auto" w:line="240" w:before="0" w:after="0"/>
        <w:ind w:start="567" w:hanging="0"/>
        <w:jc w:val="both"/>
        <w:rPr>
          <w:rFonts w:ascii="Tahoma" w:hAnsi="Tahoma" w:eastAsia="Times New Roman" w:cs="Tahoma"/>
          <w:sz w:val="20"/>
          <w:szCs w:val="20"/>
          <w:lang w:val="sr-RS" w:eastAsia="sr-Latn-RS"/>
        </w:rPr>
      </w:pPr>
      <w:r>
        <w:rPr>
          <w:rFonts w:eastAsia="Calibri" w:cs="Tahoma" w:ascii="Tahoma" w:hAnsi="Tahoma"/>
          <w:sz w:val="20"/>
          <w:szCs w:val="20"/>
          <w:lang w:val="sr-RS"/>
        </w:rPr>
        <w:t xml:space="preserve">Мера 1.3: . </w:t>
      </w:r>
      <w:r>
        <w:rPr>
          <w:rFonts w:eastAsia="Times New Roman" w:cs="Tahoma" w:ascii="Tahoma" w:hAnsi="Tahoma"/>
          <w:sz w:val="20"/>
          <w:szCs w:val="20"/>
          <w:lang w:val="sr-RS" w:eastAsia="sr-Latn-RS"/>
        </w:rPr>
        <w:t>Успостављање система за праћење и евалуацију ефеката локалне јавне политике у области социјалне заштите</w:t>
      </w:r>
    </w:p>
    <w:p>
      <w:pPr>
        <w:pStyle w:val="Normal"/>
        <w:spacing w:lineRule="auto" w:line="240" w:before="0" w:after="0"/>
        <w:ind w:start="567" w:hanging="0"/>
        <w:jc w:val="both"/>
        <w:rPr>
          <w:rFonts w:ascii="Tahoma" w:hAnsi="Tahoma" w:eastAsia="Times New Roman" w:cs="Tahoma"/>
          <w:sz w:val="20"/>
          <w:szCs w:val="20"/>
          <w:lang w:val="sr-RS" w:eastAsia="sr-Latn-RS"/>
        </w:rPr>
      </w:pPr>
      <w:r>
        <w:rPr>
          <w:rFonts w:eastAsia="Times New Roman" w:cs="Tahoma" w:ascii="Tahoma" w:hAnsi="Tahoma"/>
          <w:sz w:val="20"/>
          <w:szCs w:val="20"/>
          <w:lang w:val="sr-RS" w:eastAsia="sr-Latn-RS"/>
        </w:rPr>
        <w:t>Мера 1.4. Неговање сарадње и партнерства са другим општинама и актерима у систему социјалне заштите ради размене добрих пракси</w:t>
      </w:r>
    </w:p>
    <w:p>
      <w:pPr>
        <w:pStyle w:val="Normal"/>
        <w:spacing w:lineRule="auto" w:line="240" w:before="0" w:after="0"/>
        <w:ind w:firstLine="720"/>
        <w:jc w:val="both"/>
        <w:rPr>
          <w:rFonts w:ascii="Tahoma" w:hAnsi="Tahoma" w:eastAsia="Times New Roman" w:cs="Tahoma"/>
          <w:i/>
          <w:i/>
          <w:kern w:val="0"/>
          <w:sz w:val="20"/>
          <w:szCs w:val="20"/>
          <w:lang w:val="sr-RS"/>
          <w14:ligatures w14:val="none"/>
        </w:rPr>
      </w:pPr>
      <w:r>
        <w:rPr>
          <w:rFonts w:eastAsia="Times New Roman" w:cs="Tahoma" w:ascii="Tahoma" w:hAnsi="Tahoma"/>
          <w:i/>
          <w:kern w:val="0"/>
          <w:sz w:val="20"/>
          <w:szCs w:val="20"/>
          <w:lang w:val="sr-RS"/>
          <w14:ligatures w14:val="none"/>
        </w:rPr>
      </w:r>
    </w:p>
    <w:p>
      <w:pPr>
        <w:pStyle w:val="Normal"/>
        <w:spacing w:lineRule="auto" w:line="240" w:before="0" w:after="0"/>
        <w:ind w:firstLine="720"/>
        <w:jc w:val="both"/>
        <w:rPr>
          <w:rFonts w:ascii="Tahoma" w:hAnsi="Tahoma" w:eastAsia="Times New Roman" w:cs="Tahoma"/>
          <w:i/>
          <w:i/>
          <w:kern w:val="0"/>
          <w:sz w:val="20"/>
          <w:szCs w:val="20"/>
          <w:lang w:val="sr-RS"/>
          <w14:ligatures w14:val="none"/>
        </w:rPr>
      </w:pPr>
      <w:r>
        <w:rPr>
          <w:rFonts w:eastAsia="Times New Roman" w:cs="Tahoma" w:ascii="Tahoma" w:hAnsi="Tahoma"/>
          <w:i/>
          <w:kern w:val="0"/>
          <w:sz w:val="20"/>
          <w:szCs w:val="20"/>
          <w:lang w:val="sr-RS"/>
          <w14:ligatures w14:val="none"/>
        </w:rPr>
      </w:r>
    </w:p>
    <w:p>
      <w:pPr>
        <w:pStyle w:val="Normal"/>
        <w:spacing w:lineRule="auto" w:line="240" w:before="0" w:after="0"/>
        <w:rPr>
          <w:rFonts w:ascii="Tahoma" w:hAnsi="Tahoma" w:cs="Tahoma"/>
          <w:sz w:val="20"/>
          <w:szCs w:val="20"/>
          <w:lang w:val="sr-RS"/>
        </w:rPr>
      </w:pPr>
      <w:r>
        <w:rPr>
          <w:rFonts w:eastAsia="Calibri" w:cs="Tahoma" w:ascii="Tahoma" w:hAnsi="Tahoma"/>
          <w:b/>
          <w:sz w:val="20"/>
          <w:szCs w:val="20"/>
          <w:lang w:val="sr-RS"/>
        </w:rPr>
        <w:t xml:space="preserve">ПОСЕБНИ ЦИЉ 2: </w:t>
      </w:r>
      <w:r>
        <w:rPr>
          <w:rFonts w:eastAsia="Times New Roman" w:cs="Tahoma" w:ascii="Tahoma" w:hAnsi="Tahoma"/>
          <w:b/>
          <w:bCs/>
          <w:sz w:val="20"/>
          <w:szCs w:val="20"/>
          <w:lang w:val="sr-RS" w:eastAsia="sr-Latn-RS"/>
        </w:rPr>
        <w:t>Повећање доступности и обухвата услуга социјалне заштите за рањиве групе.</w:t>
      </w:r>
    </w:p>
    <w:p>
      <w:pPr>
        <w:pStyle w:val="Normal"/>
        <w:spacing w:lineRule="auto" w:line="240" w:before="0" w:after="0"/>
        <w:jc w:val="both"/>
        <w:rPr>
          <w:rFonts w:ascii="Tahoma" w:hAnsi="Tahoma" w:cs="Tahoma"/>
          <w:sz w:val="20"/>
          <w:szCs w:val="20"/>
          <w:lang w:val="sr-RS"/>
        </w:rPr>
      </w:pPr>
      <w:r>
        <w:rPr>
          <w:rFonts w:eastAsia="Calibri" w:cs="Tahoma" w:ascii="Tahoma" w:hAnsi="Tahoma"/>
          <w:sz w:val="20"/>
          <w:szCs w:val="20"/>
          <w:lang w:val="sr-RS"/>
        </w:rPr>
        <w:t xml:space="preserve">Овај циљ предвиђа успостављање две услуге социјалне заштите: лични пратилац детета и помоћ у кући. Имајући у виду да је Општина Беочин усвојила Одлуку о обезбеђивању и пружању услуге Лични пратилац и Одлуку о обезбеђивању услуге Помоћ у кући и тиме у потпуности ускладила нормативни оквир са релевантном законском регулативом, обезбедила донаторска средства за успостављање услуге Помоћ у кући, овим Програмом ће бити повећан укупан број корисника локалних услуга социјалне заштите у општини Беочин. </w:t>
      </w:r>
    </w:p>
    <w:p>
      <w:pPr>
        <w:pStyle w:val="Normal"/>
        <w:spacing w:lineRule="auto" w:line="240" w:before="0" w:after="0"/>
        <w:rPr>
          <w:rFonts w:ascii="Tahoma" w:hAnsi="Tahoma" w:eastAsia="Calibri" w:cs="Tahoma"/>
          <w:sz w:val="20"/>
          <w:szCs w:val="20"/>
          <w:lang w:val="sr-RS"/>
        </w:rPr>
      </w:pPr>
      <w:r>
        <w:rPr>
          <w:rFonts w:eastAsia="Calibri" w:cs="Tahoma" w:ascii="Tahoma" w:hAnsi="Tahoma"/>
          <w:sz w:val="20"/>
          <w:szCs w:val="20"/>
          <w:lang w:val="sr-RS"/>
        </w:rPr>
      </w:r>
    </w:p>
    <w:p>
      <w:pPr>
        <w:pStyle w:val="Normal"/>
        <w:spacing w:lineRule="auto" w:line="240" w:before="0" w:after="0"/>
        <w:jc w:val="both"/>
        <w:rPr>
          <w:sz w:val="20"/>
          <w:szCs w:val="20"/>
          <w:lang w:val="sr-RS"/>
        </w:rPr>
      </w:pPr>
      <w:r>
        <w:rPr>
          <w:rFonts w:eastAsia="Calibri" w:cs="Tahoma" w:ascii="Tahoma" w:hAnsi="Tahoma"/>
          <w:sz w:val="20"/>
          <w:szCs w:val="20"/>
          <w:lang w:val="sr-RS"/>
        </w:rPr>
        <w:t xml:space="preserve">Мера у оквиру овог циља је: </w:t>
      </w:r>
    </w:p>
    <w:p>
      <w:pPr>
        <w:pStyle w:val="Normal"/>
        <w:spacing w:lineRule="auto" w:line="240" w:before="0" w:after="0"/>
        <w:ind w:start="567" w:hanging="0"/>
        <w:rPr>
          <w:rFonts w:ascii="Tahoma" w:hAnsi="Tahoma" w:cs="Tahoma"/>
          <w:sz w:val="20"/>
          <w:szCs w:val="20"/>
          <w:lang w:val="sr-RS"/>
        </w:rPr>
      </w:pPr>
      <w:r>
        <w:rPr>
          <w:rFonts w:eastAsia="Calibri" w:cs="Tahoma" w:ascii="Tahoma" w:hAnsi="Tahoma"/>
          <w:sz w:val="20"/>
          <w:szCs w:val="20"/>
          <w:lang w:val="sr-RS"/>
        </w:rPr>
        <w:t xml:space="preserve">Мера </w:t>
      </w:r>
      <w:r>
        <w:rPr>
          <w:rFonts w:eastAsia="Calibri" w:cs="Tahoma" w:ascii="Tahoma" w:hAnsi="Tahoma"/>
          <w:sz w:val="20"/>
          <w:szCs w:val="20"/>
          <w:lang w:val="sr-Latn-RS"/>
        </w:rPr>
        <w:t xml:space="preserve">2.1. </w:t>
      </w:r>
      <w:r>
        <w:rPr>
          <w:rFonts w:eastAsia="Calibri" w:cs="Tahoma" w:ascii="Tahoma" w:hAnsi="Tahoma"/>
          <w:sz w:val="20"/>
          <w:szCs w:val="20"/>
          <w:lang w:val="sr-RS"/>
        </w:rPr>
        <w:t>Успостављање и пружање локалних услуга социјалне заштите – Лични пратилац и Помоћ у кући</w:t>
      </w:r>
    </w:p>
    <w:p>
      <w:pPr>
        <w:pStyle w:val="Normal"/>
        <w:spacing w:lineRule="auto" w:line="240" w:before="0" w:after="0"/>
        <w:rPr>
          <w:rFonts w:ascii="Tahoma" w:hAnsi="Tahoma" w:cs="Tahoma"/>
          <w:sz w:val="20"/>
          <w:szCs w:val="20"/>
          <w:lang w:val="sr-RS"/>
        </w:rPr>
      </w:pPr>
      <w:r>
        <w:rPr>
          <w:rFonts w:cs="Tahoma" w:ascii="Tahoma" w:hAnsi="Tahoma"/>
          <w:sz w:val="20"/>
          <w:szCs w:val="20"/>
          <w:lang w:val="sr-RS"/>
        </w:rPr>
      </w:r>
    </w:p>
    <w:p>
      <w:pPr>
        <w:pStyle w:val="Normal"/>
        <w:spacing w:lineRule="auto" w:line="240" w:before="0" w:after="0"/>
        <w:rPr>
          <w:rFonts w:ascii="Tahoma" w:hAnsi="Tahoma" w:cs="Tahoma"/>
          <w:sz w:val="20"/>
          <w:szCs w:val="20"/>
          <w:lang w:val="sr-RS"/>
        </w:rPr>
      </w:pPr>
      <w:r>
        <w:rPr>
          <w:rFonts w:cs="Tahoma" w:ascii="Tahoma" w:hAnsi="Tahoma"/>
          <w:sz w:val="20"/>
          <w:szCs w:val="20"/>
          <w:lang w:val="sr-RS"/>
        </w:rPr>
      </w:r>
    </w:p>
    <w:p>
      <w:pPr>
        <w:pStyle w:val="Normal"/>
        <w:spacing w:lineRule="auto" w:line="240" w:before="0" w:after="0"/>
        <w:rPr>
          <w:rFonts w:ascii="Tahoma" w:hAnsi="Tahoma" w:cs="Tahoma"/>
          <w:spacing w:val="-8"/>
          <w:sz w:val="20"/>
          <w:szCs w:val="20"/>
          <w:lang w:val="sr-RS"/>
        </w:rPr>
      </w:pPr>
      <w:r>
        <w:rPr>
          <w:rFonts w:eastAsia="Calibri" w:cs="Tahoma" w:ascii="Tahoma" w:hAnsi="Tahoma"/>
          <w:b/>
          <w:sz w:val="20"/>
          <w:szCs w:val="20"/>
          <w:lang w:val="sr-RS"/>
        </w:rPr>
        <w:t xml:space="preserve">ПОСЕБНИ ЦИЉ 3: </w:t>
      </w:r>
      <w:r>
        <w:rPr>
          <w:rFonts w:eastAsia="Times New Roman" w:cs="Tahoma" w:ascii="Tahoma" w:hAnsi="Tahoma"/>
          <w:b/>
          <w:bCs/>
          <w:sz w:val="20"/>
          <w:szCs w:val="20"/>
          <w:lang w:val="sr-RS" w:eastAsia="sr-Latn-RS"/>
        </w:rPr>
        <w:t>Повећање информисаности грађана о правима и услугама социјалне заштите</w:t>
      </w:r>
    </w:p>
    <w:p>
      <w:pPr>
        <w:pStyle w:val="Normal"/>
        <w:spacing w:lineRule="auto" w:line="240" w:before="0" w:after="0"/>
        <w:jc w:val="both"/>
        <w:rPr>
          <w:rFonts w:ascii="Tahoma" w:hAnsi="Tahoma" w:cs="Tahoma"/>
          <w:spacing w:val="-8"/>
          <w:sz w:val="20"/>
          <w:szCs w:val="20"/>
          <w:lang w:val="sr-RS"/>
        </w:rPr>
      </w:pPr>
      <w:r>
        <w:rPr>
          <w:rFonts w:cs="Tahoma" w:ascii="Tahoma" w:hAnsi="Tahoma"/>
          <w:spacing w:val="-8"/>
          <w:sz w:val="20"/>
          <w:szCs w:val="20"/>
          <w:lang w:val="sr-RS"/>
        </w:rPr>
        <w:t xml:space="preserve">У оквиру овог циља предвиђене су активности информисања корисника односно грађана о услугама социјалне заштите, као и информативно едукативне активности којима се грађанима скреће пажња на друштвене проблеме и развија свест о активности </w:t>
      </w:r>
    </w:p>
    <w:p>
      <w:pPr>
        <w:pStyle w:val="Normal"/>
        <w:spacing w:lineRule="auto" w:line="240" w:before="0" w:after="0"/>
        <w:jc w:val="both"/>
        <w:rPr>
          <w:rFonts w:ascii="Tahoma" w:hAnsi="Tahoma" w:eastAsia="Calibri" w:cs="Tahoma"/>
          <w:sz w:val="20"/>
          <w:szCs w:val="20"/>
          <w:lang w:val="sr-RS"/>
        </w:rPr>
      </w:pPr>
      <w:r>
        <w:rPr>
          <w:rFonts w:eastAsia="Calibri" w:cs="Tahoma" w:ascii="Tahoma" w:hAnsi="Tahoma"/>
          <w:sz w:val="20"/>
          <w:szCs w:val="20"/>
          <w:lang w:val="sr-RS"/>
        </w:rPr>
      </w:r>
    </w:p>
    <w:p>
      <w:pPr>
        <w:pStyle w:val="Normal"/>
        <w:spacing w:lineRule="auto" w:line="240" w:before="0" w:after="0"/>
        <w:jc w:val="both"/>
        <w:rPr>
          <w:sz w:val="20"/>
          <w:szCs w:val="20"/>
          <w:lang w:val="sr-RS"/>
        </w:rPr>
      </w:pPr>
      <w:r>
        <w:rPr>
          <w:rFonts w:eastAsia="Calibri" w:cs="Tahoma" w:ascii="Tahoma" w:hAnsi="Tahoma"/>
          <w:sz w:val="20"/>
          <w:szCs w:val="20"/>
          <w:lang w:val="sr-RS"/>
        </w:rPr>
        <w:t xml:space="preserve">Мере у оквиру овог циља су: </w:t>
      </w:r>
    </w:p>
    <w:p>
      <w:pPr>
        <w:pStyle w:val="Normal"/>
        <w:spacing w:lineRule="auto" w:line="240" w:before="0" w:after="0"/>
        <w:ind w:start="567" w:hanging="0"/>
        <w:jc w:val="both"/>
        <w:rPr>
          <w:rFonts w:ascii="Tahoma" w:hAnsi="Tahoma" w:cs="Tahoma"/>
          <w:sz w:val="20"/>
          <w:szCs w:val="20"/>
          <w:lang w:val="sr-RS"/>
        </w:rPr>
      </w:pPr>
      <w:r>
        <w:rPr>
          <w:rFonts w:eastAsia="Calibri" w:cs="Tahoma" w:ascii="Tahoma" w:hAnsi="Tahoma"/>
          <w:sz w:val="20"/>
          <w:szCs w:val="20"/>
          <w:lang w:val="sr-RS"/>
        </w:rPr>
        <w:t xml:space="preserve">Мера 3.1. </w:t>
      </w:r>
      <w:r>
        <w:rPr>
          <w:rFonts w:eastAsia="Times New Roman" w:cs="Tahoma" w:ascii="Tahoma" w:hAnsi="Tahoma"/>
          <w:sz w:val="20"/>
          <w:szCs w:val="20"/>
          <w:lang w:val="sr-RS" w:eastAsia="sr-Latn-RS"/>
        </w:rPr>
        <w:t>Информисање јавности/потенцијалних корисника о доступним услугама</w:t>
      </w:r>
    </w:p>
    <w:p>
      <w:pPr>
        <w:pStyle w:val="Normal"/>
        <w:spacing w:lineRule="auto" w:line="240" w:before="0" w:after="0"/>
        <w:ind w:start="567" w:hanging="0"/>
        <w:jc w:val="both"/>
        <w:rPr>
          <w:rFonts w:ascii="Tahoma" w:hAnsi="Tahoma" w:cs="Tahoma"/>
          <w:sz w:val="20"/>
          <w:szCs w:val="20"/>
          <w:lang w:val="sr-RS"/>
        </w:rPr>
      </w:pPr>
      <w:r>
        <w:rPr>
          <w:rFonts w:eastAsia="Calibri" w:cs="Tahoma" w:ascii="Tahoma" w:hAnsi="Tahoma"/>
          <w:sz w:val="20"/>
          <w:szCs w:val="20"/>
          <w:lang w:val="sr-RS"/>
        </w:rPr>
        <w:t>Мера 3.2. Спровођење п</w:t>
      </w:r>
      <w:r>
        <w:rPr>
          <w:rFonts w:eastAsia="Times New Roman" w:cs="Tahoma" w:ascii="Tahoma" w:hAnsi="Tahoma"/>
          <w:sz w:val="20"/>
          <w:szCs w:val="20"/>
          <w:lang w:val="sr-RS" w:eastAsia="sr-Latn-RS"/>
        </w:rPr>
        <w:t>ревентивних и промотивних информативно-едукативних кампања којима се развија свест о друштвеним проблемима и солидарности.</w:t>
      </w:r>
    </w:p>
    <w:p>
      <w:pPr>
        <w:pStyle w:val="Normal"/>
        <w:spacing w:lineRule="auto" w:line="240" w:before="0" w:after="0"/>
        <w:ind w:start="567" w:hanging="0"/>
        <w:jc w:val="both"/>
        <w:rPr>
          <w:rFonts w:ascii="Tahoma" w:hAnsi="Tahoma" w:cs="Tahoma"/>
          <w:spacing w:val="-8"/>
          <w:sz w:val="20"/>
          <w:szCs w:val="20"/>
          <w:lang w:val="sr-RS"/>
        </w:rPr>
      </w:pPr>
      <w:r>
        <w:rPr>
          <w:rFonts w:cs="Tahoma" w:ascii="Tahoma" w:hAnsi="Tahoma"/>
          <w:spacing w:val="-8"/>
          <w:sz w:val="20"/>
          <w:szCs w:val="20"/>
          <w:lang w:val="sr-RS"/>
        </w:rPr>
      </w:r>
    </w:p>
    <w:p>
      <w:pPr>
        <w:pStyle w:val="Normal"/>
        <w:spacing w:lineRule="auto" w:line="240" w:before="0" w:after="0"/>
        <w:rPr>
          <w:rFonts w:ascii="Tahoma" w:hAnsi="Tahoma" w:cs="Tahoma"/>
          <w:sz w:val="20"/>
          <w:szCs w:val="20"/>
          <w:lang w:val="sr-RS"/>
        </w:rPr>
      </w:pPr>
      <w:r>
        <w:rPr>
          <w:rFonts w:cs="Tahoma" w:ascii="Tahoma" w:hAnsi="Tahoma"/>
          <w:sz w:val="20"/>
          <w:szCs w:val="20"/>
          <w:lang w:val="sr-RS"/>
        </w:rPr>
      </w:r>
    </w:p>
    <w:p>
      <w:pPr>
        <w:pStyle w:val="Heading2"/>
        <w:spacing w:lineRule="auto" w:line="240"/>
        <w:jc w:val="both"/>
        <w:rPr>
          <w:rFonts w:ascii="Tahoma" w:hAnsi="Tahoma" w:cs="Tahoma"/>
          <w:sz w:val="28"/>
          <w:szCs w:val="28"/>
          <w:lang w:val="sr-RS"/>
        </w:rPr>
      </w:pPr>
      <w:bookmarkStart w:id="30" w:name="_Toc188876958"/>
      <w:bookmarkStart w:id="31" w:name="_Hlk178975487_Copy_1"/>
      <w:bookmarkEnd w:id="31"/>
      <w:r>
        <w:rPr>
          <w:rFonts w:cs="Tahoma" w:ascii="Tahoma" w:hAnsi="Tahoma"/>
          <w:sz w:val="28"/>
          <w:szCs w:val="28"/>
          <w:lang w:val="sr-RS"/>
        </w:rPr>
        <w:t>4.2. Процена финансијских средстава неопходних за реализацију Програма</w:t>
      </w:r>
      <w:bookmarkEnd w:id="30"/>
      <w:r>
        <w:rPr>
          <w:rFonts w:cs="Tahoma" w:ascii="Tahoma" w:hAnsi="Tahoma"/>
          <w:sz w:val="28"/>
          <w:szCs w:val="28"/>
          <w:lang w:val="sr-RS"/>
        </w:rPr>
        <w:t xml:space="preserve"> </w:t>
      </w:r>
    </w:p>
    <w:p>
      <w:pPr>
        <w:pStyle w:val="Normal"/>
        <w:spacing w:lineRule="auto" w:line="240" w:before="0" w:after="0"/>
        <w:jc w:val="both"/>
        <w:rPr>
          <w:rFonts w:ascii="Tahoma" w:hAnsi="Tahoma" w:eastAsia="DejaVu Sans" w:cs="Tahoma" w:eastAsiaTheme="majorEastAsia"/>
          <w:color w:val="2F5496" w:themeColor="accent1" w:themeShade="bf"/>
          <w:sz w:val="24"/>
          <w:szCs w:val="28"/>
          <w:lang w:val="sr-RS"/>
        </w:rPr>
      </w:pPr>
      <w:r>
        <w:rPr>
          <w:rFonts w:eastAsia="DejaVu Sans" w:cs="Tahoma" w:eastAsiaTheme="majorEastAsia" w:ascii="Tahoma" w:hAnsi="Tahoma"/>
          <w:color w:val="2F5496" w:themeColor="accent1" w:themeShade="bf"/>
          <w:sz w:val="24"/>
          <w:szCs w:val="28"/>
          <w:lang w:val="sr-RS"/>
        </w:rPr>
      </w:r>
    </w:p>
    <w:p>
      <w:pPr>
        <w:pStyle w:val="Normal"/>
        <w:jc w:val="both"/>
        <w:rPr>
          <w:rFonts w:ascii="Tahoma" w:hAnsi="Tahoma" w:cs="Tahoma"/>
          <w:sz w:val="20"/>
          <w:szCs w:val="20"/>
          <w:lang w:val="sr-RS"/>
        </w:rPr>
      </w:pPr>
      <w:r>
        <w:rPr>
          <w:rFonts w:cs="Tahoma" w:ascii="Tahoma" w:hAnsi="Tahoma"/>
          <w:sz w:val="20"/>
          <w:szCs w:val="20"/>
          <w:lang w:val="sr-RS"/>
        </w:rPr>
        <w:t xml:space="preserve">Саставни део Програма унапређења социјалне заштите у општини Беочин за период од 2025. до 2030. године чини и Акциони план за његово спровођење за период од 2025 до 2027. године, и који садржи разрађене мере и активности које доприносе остваривању посебних циљева. </w:t>
      </w:r>
    </w:p>
    <w:p>
      <w:pPr>
        <w:pStyle w:val="Normal"/>
        <w:jc w:val="both"/>
        <w:rPr>
          <w:rFonts w:ascii="Tahoma" w:hAnsi="Tahoma" w:cs="Tahoma"/>
          <w:sz w:val="20"/>
          <w:szCs w:val="20"/>
          <w:lang w:val="sr-RS"/>
        </w:rPr>
      </w:pPr>
      <w:r>
        <w:rPr>
          <w:rFonts w:cs="Tahoma" w:ascii="Tahoma" w:hAnsi="Tahoma"/>
          <w:sz w:val="20"/>
          <w:szCs w:val="20"/>
          <w:lang w:val="sr-RS"/>
        </w:rPr>
        <w:t>Акциони план укључује и процену трошкова активности предвиђених предметним планом, односно средстава потребних за њихово спровођење. Приликом процене трошкова, приступило се економски рационално и у складу са основним макроекономским претпоставкама и пројекцијама које су дате у Ревидираној фискалној стратегији за 2025. годину.</w:t>
      </w:r>
    </w:p>
    <w:p>
      <w:pPr>
        <w:pStyle w:val="Normal"/>
        <w:jc w:val="both"/>
        <w:rPr>
          <w:rFonts w:ascii="Tahoma" w:hAnsi="Tahoma" w:cs="Tahoma"/>
          <w:sz w:val="20"/>
          <w:szCs w:val="20"/>
          <w:lang w:val="sr-RS"/>
        </w:rPr>
      </w:pPr>
      <w:r>
        <w:rPr>
          <w:rFonts w:cs="Tahoma" w:ascii="Tahoma" w:hAnsi="Tahoma"/>
          <w:sz w:val="20"/>
          <w:szCs w:val="20"/>
          <w:lang w:val="sr-RS"/>
        </w:rPr>
        <w:t>Приликом дефинисања мера и активности у Акционом плану, неопходно је вршити и адекватно планирање дефинисаних расхода по мерама и активностима у конкретним програмима буџета општине, класификацију расхода и издатака према уже дефинисаним надлежностима и мерама корисника буџета, одређивање конкретне сврхе на које се средства троше, одређивање начина потрошње средстава и повезаности са средњорочним циљевима и утврђивање елемената за мерење учинка спровођења мера.</w:t>
      </w:r>
    </w:p>
    <w:p>
      <w:pPr>
        <w:pStyle w:val="Normal"/>
        <w:jc w:val="both"/>
        <w:rPr>
          <w:rFonts w:ascii="Tahoma" w:hAnsi="Tahoma" w:cs="Tahoma"/>
          <w:sz w:val="20"/>
          <w:szCs w:val="20"/>
          <w:lang w:val="sr-RS"/>
        </w:rPr>
      </w:pPr>
      <w:r>
        <w:rPr>
          <w:rFonts w:cs="Tahoma" w:ascii="Tahoma" w:hAnsi="Tahoma"/>
          <w:sz w:val="20"/>
          <w:szCs w:val="20"/>
          <w:lang w:val="sr-RS"/>
        </w:rPr>
        <w:t>Oд програмског буџета на нивоу јединице локалне самоуправе, очекује се да:</w:t>
      </w:r>
    </w:p>
    <w:p>
      <w:pPr>
        <w:pStyle w:val="ListParagraph"/>
        <w:numPr>
          <w:ilvl w:val="0"/>
          <w:numId w:val="16"/>
        </w:numPr>
        <w:jc w:val="both"/>
        <w:rPr>
          <w:rFonts w:ascii="Tahoma" w:hAnsi="Tahoma" w:cs="Tahoma"/>
          <w:sz w:val="20"/>
          <w:szCs w:val="20"/>
          <w:lang w:val="sr-RS"/>
        </w:rPr>
      </w:pPr>
      <w:r>
        <w:rPr>
          <w:rFonts w:cs="Tahoma" w:ascii="Tahoma" w:hAnsi="Tahoma"/>
          <w:sz w:val="20"/>
          <w:szCs w:val="20"/>
          <w:lang w:val="sr-RS"/>
        </w:rPr>
        <w:t>пружа јединствен оквир за утврђивање приоритетних расхода и издатака</w:t>
      </w:r>
    </w:p>
    <w:p>
      <w:pPr>
        <w:pStyle w:val="ListParagraph"/>
        <w:numPr>
          <w:ilvl w:val="0"/>
          <w:numId w:val="16"/>
        </w:numPr>
        <w:jc w:val="both"/>
        <w:rPr>
          <w:rFonts w:ascii="Tahoma" w:hAnsi="Tahoma" w:cs="Tahoma"/>
          <w:sz w:val="20"/>
          <w:szCs w:val="20"/>
          <w:lang w:val="sr-RS"/>
        </w:rPr>
      </w:pPr>
      <w:r>
        <w:rPr>
          <w:rFonts w:cs="Tahoma" w:ascii="Tahoma" w:hAnsi="Tahoma"/>
          <w:sz w:val="20"/>
          <w:szCs w:val="20"/>
          <w:lang w:val="sr-RS"/>
        </w:rPr>
        <w:t>унапређује координацију политика ради остваривања националних и локалних социјалних циљева</w:t>
      </w:r>
    </w:p>
    <w:p>
      <w:pPr>
        <w:pStyle w:val="ListParagraph"/>
        <w:numPr>
          <w:ilvl w:val="0"/>
          <w:numId w:val="16"/>
        </w:numPr>
        <w:jc w:val="both"/>
        <w:rPr>
          <w:rFonts w:ascii="Tahoma" w:hAnsi="Tahoma" w:cs="Tahoma"/>
          <w:sz w:val="20"/>
          <w:szCs w:val="20"/>
          <w:lang w:val="sr-RS"/>
        </w:rPr>
      </w:pPr>
      <w:r>
        <w:rPr>
          <w:rFonts w:cs="Tahoma" w:ascii="Tahoma" w:hAnsi="Tahoma"/>
          <w:sz w:val="20"/>
          <w:szCs w:val="20"/>
          <w:lang w:val="sr-RS"/>
        </w:rPr>
        <w:t>омогућава свим заинтересованим странама да уоче неефикасно трошење јавних средстава</w:t>
      </w:r>
    </w:p>
    <w:p>
      <w:pPr>
        <w:pStyle w:val="ListParagraph"/>
        <w:numPr>
          <w:ilvl w:val="0"/>
          <w:numId w:val="16"/>
        </w:numPr>
        <w:jc w:val="both"/>
        <w:rPr>
          <w:rFonts w:ascii="Tahoma" w:hAnsi="Tahoma" w:cs="Tahoma"/>
          <w:sz w:val="20"/>
          <w:szCs w:val="20"/>
          <w:lang w:val="sr-RS"/>
        </w:rPr>
      </w:pPr>
      <w:r>
        <w:rPr>
          <w:rFonts w:cs="Tahoma" w:ascii="Tahoma" w:hAnsi="Tahoma"/>
          <w:sz w:val="20"/>
          <w:szCs w:val="20"/>
          <w:lang w:val="sr-RS"/>
        </w:rPr>
        <w:t>доприноси унапређењу услуга јавне управе кроз процену односа њихове цене и квалитета</w:t>
      </w:r>
    </w:p>
    <w:p>
      <w:pPr>
        <w:pStyle w:val="ListParagraph"/>
        <w:numPr>
          <w:ilvl w:val="0"/>
          <w:numId w:val="16"/>
        </w:numPr>
        <w:jc w:val="both"/>
        <w:rPr>
          <w:rFonts w:ascii="Tahoma" w:hAnsi="Tahoma" w:cs="Tahoma"/>
          <w:sz w:val="20"/>
          <w:szCs w:val="20"/>
          <w:lang w:val="sr-RS"/>
        </w:rPr>
      </w:pPr>
      <w:r>
        <w:rPr>
          <w:rFonts w:cs="Tahoma" w:ascii="Tahoma" w:hAnsi="Tahoma"/>
          <w:sz w:val="20"/>
          <w:szCs w:val="20"/>
          <w:lang w:val="sr-RS"/>
        </w:rPr>
        <w:t>омогућава израду буџета који је транспарентнији и разумљивији за грађане.</w:t>
      </w:r>
    </w:p>
    <w:p>
      <w:pPr>
        <w:pStyle w:val="Normal"/>
        <w:jc w:val="both"/>
        <w:rPr>
          <w:rFonts w:ascii="Tahoma" w:hAnsi="Tahoma" w:cs="Tahoma"/>
          <w:sz w:val="20"/>
          <w:szCs w:val="20"/>
          <w:lang w:val="sr-RS"/>
        </w:rPr>
      </w:pPr>
      <w:r>
        <w:rPr>
          <w:rFonts w:cs="Tahoma" w:ascii="Tahoma" w:hAnsi="Tahoma"/>
          <w:sz w:val="20"/>
          <w:szCs w:val="20"/>
          <w:lang w:val="sr-RS"/>
        </w:rPr>
        <w:t xml:space="preserve">Одлуком о буџету општине Беочин, у наредним годинама важења овог Акционог плана, потребно је предвидети износе средстава из других извора, а у складу са релевантним информацијама о конкурсима потенцијалних донатора/финансијера у предстојећем периоду а то су:  </w:t>
      </w:r>
    </w:p>
    <w:p>
      <w:pPr>
        <w:pStyle w:val="Normal"/>
        <w:spacing w:before="0" w:after="160"/>
        <w:contextualSpacing/>
        <w:jc w:val="both"/>
        <w:rPr>
          <w:rFonts w:ascii="Tahoma" w:hAnsi="Tahoma" w:cs="Tahoma"/>
          <w:sz w:val="20"/>
          <w:szCs w:val="20"/>
          <w:lang w:val="sr-RS"/>
        </w:rPr>
      </w:pPr>
      <w:r>
        <w:rPr>
          <w:rFonts w:cs="Tahoma" w:ascii="Tahoma" w:hAnsi="Tahoma"/>
          <w:sz w:val="20"/>
          <w:szCs w:val="20"/>
          <w:lang w:val="sr-RS"/>
        </w:rPr>
        <w:t>-</w:t>
        <w:tab/>
        <w:t>Донације од иностраних земаља - извор 05</w:t>
      </w:r>
    </w:p>
    <w:p>
      <w:pPr>
        <w:pStyle w:val="Normal"/>
        <w:spacing w:before="0" w:after="160"/>
        <w:contextualSpacing/>
        <w:jc w:val="both"/>
        <w:rPr>
          <w:rFonts w:ascii="Tahoma" w:hAnsi="Tahoma" w:cs="Tahoma"/>
          <w:sz w:val="20"/>
          <w:szCs w:val="20"/>
          <w:lang w:val="sr-RS"/>
        </w:rPr>
      </w:pPr>
      <w:r>
        <w:rPr>
          <w:rFonts w:cs="Tahoma" w:ascii="Tahoma" w:hAnsi="Tahoma"/>
          <w:sz w:val="20"/>
          <w:szCs w:val="20"/>
          <w:lang w:val="sr-RS"/>
        </w:rPr>
        <w:t>-</w:t>
        <w:tab/>
        <w:t>Донације од међународних организација - извор 06</w:t>
      </w:r>
    </w:p>
    <w:p>
      <w:pPr>
        <w:pStyle w:val="Normal"/>
        <w:spacing w:before="0" w:after="160"/>
        <w:contextualSpacing/>
        <w:jc w:val="both"/>
        <w:rPr>
          <w:rFonts w:ascii="Tahoma" w:hAnsi="Tahoma" w:cs="Tahoma"/>
          <w:sz w:val="20"/>
          <w:szCs w:val="20"/>
          <w:lang w:val="sr-RS"/>
        </w:rPr>
      </w:pPr>
      <w:r>
        <w:rPr>
          <w:rFonts w:cs="Tahoma" w:ascii="Tahoma" w:hAnsi="Tahoma"/>
          <w:sz w:val="20"/>
          <w:szCs w:val="20"/>
          <w:lang w:val="sr-RS"/>
        </w:rPr>
        <w:t>-</w:t>
        <w:tab/>
        <w:t>Трансфери од других нивоа власти - извор 07</w:t>
      </w:r>
    </w:p>
    <w:p>
      <w:pPr>
        <w:pStyle w:val="Normal"/>
        <w:jc w:val="both"/>
        <w:rPr>
          <w:rFonts w:ascii="Tahoma" w:hAnsi="Tahoma" w:cs="Tahoma"/>
          <w:sz w:val="20"/>
          <w:szCs w:val="20"/>
          <w:lang w:val="sr-RS"/>
        </w:rPr>
      </w:pPr>
      <w:r>
        <w:rPr>
          <w:rFonts w:cs="Tahoma" w:ascii="Tahoma" w:hAnsi="Tahoma"/>
          <w:sz w:val="20"/>
          <w:szCs w:val="20"/>
          <w:lang w:val="sr-RS"/>
        </w:rPr>
        <w:t>-</w:t>
        <w:tab/>
        <w:t>Добровољни трансфери од физичких и правних лица - извор 08.</w:t>
      </w:r>
    </w:p>
    <w:p>
      <w:pPr>
        <w:pStyle w:val="Normal"/>
        <w:jc w:val="both"/>
        <w:rPr>
          <w:rFonts w:ascii="Tahoma" w:hAnsi="Tahoma" w:cs="Tahoma"/>
          <w:sz w:val="20"/>
          <w:szCs w:val="20"/>
          <w:lang w:val="sr-RS"/>
        </w:rPr>
      </w:pPr>
      <w:r>
        <w:rPr>
          <w:rFonts w:cs="Tahoma" w:ascii="Tahoma" w:hAnsi="Tahoma"/>
          <w:sz w:val="20"/>
          <w:szCs w:val="20"/>
          <w:lang w:val="sr-RS"/>
        </w:rPr>
        <w:t>У наставку је дат преглед процењених финансијских средстава за имплементацију Акционог плана по посебним циљевима/мерама и изворима финансирања.</w:t>
      </w:r>
    </w:p>
    <w:p>
      <w:pPr>
        <w:pStyle w:val="Normal"/>
        <w:jc w:val="both"/>
        <w:rPr>
          <w:rFonts w:ascii="Tahoma" w:hAnsi="Tahoma" w:cs="Tahoma"/>
          <w:sz w:val="20"/>
          <w:szCs w:val="20"/>
          <w:lang w:val="sr-RS"/>
        </w:rPr>
      </w:pPr>
      <w:r>
        <w:rPr>
          <w:rFonts w:cs="Tahoma" w:ascii="Tahoma" w:hAnsi="Tahoma"/>
          <w:sz w:val="20"/>
          <w:szCs w:val="20"/>
          <w:lang w:val="sr-RS"/>
        </w:rPr>
        <w:t>Укупно процењена средства за имплементацију Акционог плана Програма унапређења социјалне заштите у општини Беочин за период од 2025. до 2027. године износе 50,8 милиона динара. Од укупно планираних средстава, 88,2% биће финансирано из буџета Општине, док ће 11,8% бити финансирано из екстерних извора, што се може видети у табели:</w:t>
      </w:r>
    </w:p>
    <w:tbl>
      <w:tblPr>
        <w:tblW w:w="8255" w:type="dxa"/>
        <w:jc w:val="center"/>
        <w:tblInd w:w="0" w:type="dxa"/>
        <w:tblLayout w:type="fixed"/>
        <w:tblCellMar>
          <w:top w:w="0" w:type="dxa"/>
          <w:start w:w="108" w:type="dxa"/>
          <w:bottom w:w="0" w:type="dxa"/>
          <w:end w:w="108" w:type="dxa"/>
        </w:tblCellMar>
        <w:tblLook w:firstRow="1" w:noVBand="1" w:lastRow="0" w:firstColumn="1" w:lastColumn="0" w:noHBand="0" w:val="04a0"/>
      </w:tblPr>
      <w:tblGrid>
        <w:gridCol w:w="3203"/>
        <w:gridCol w:w="1636"/>
        <w:gridCol w:w="1642"/>
        <w:gridCol w:w="1773"/>
      </w:tblGrid>
      <w:tr>
        <w:trPr>
          <w:trHeight w:val="669" w:hRule="atLeast"/>
        </w:trPr>
        <w:tc>
          <w:tcPr>
            <w:tcW w:w="3203"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t>Посебни циљеви и мере</w:t>
            </w:r>
          </w:p>
        </w:tc>
        <w:tc>
          <w:tcPr>
            <w:tcW w:w="1636" w:type="dxa"/>
            <w:tcBorders>
              <w:top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t>Буџетска средства Општине</w:t>
            </w:r>
          </w:p>
        </w:tc>
        <w:tc>
          <w:tcPr>
            <w:tcW w:w="1642" w:type="dxa"/>
            <w:tcBorders>
              <w:top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t>Екстерни извори</w:t>
            </w:r>
          </w:p>
        </w:tc>
        <w:tc>
          <w:tcPr>
            <w:tcW w:w="1773" w:type="dxa"/>
            <w:tcBorders>
              <w:top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t>УКУПНО</w:t>
            </w:r>
          </w:p>
        </w:tc>
      </w:tr>
      <w:tr>
        <w:trPr>
          <w:trHeight w:val="222" w:hRule="atLeast"/>
        </w:trPr>
        <w:tc>
          <w:tcPr>
            <w:tcW w:w="3203" w:type="dxa"/>
            <w:tcBorders>
              <w:start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rPr>
                <w:rFonts w:ascii="Tahoma" w:hAnsi="Tahoma" w:eastAsia="Times New Roman" w:cs="Tahoma"/>
                <w:b/>
                <w:b/>
                <w:bCs/>
                <w:color w:val="FFFFFF"/>
                <w:kern w:val="0"/>
                <w:sz w:val="18"/>
                <w:szCs w:val="18"/>
                <w:lang w:val="sr-BA" w:eastAsia="en-GB"/>
                <w14:ligatures w14:val="none"/>
              </w:rPr>
            </w:pPr>
            <w:r>
              <w:rPr>
                <w:rFonts w:eastAsia="Times New Roman" w:cs="Tahoma" w:ascii="Tahoma" w:hAnsi="Tahoma"/>
                <w:b/>
                <w:bCs/>
                <w:color w:val="FFFFFF"/>
                <w:kern w:val="0"/>
                <w:sz w:val="18"/>
                <w:szCs w:val="18"/>
                <w:lang w:val="sr-BA" w:eastAsia="en-GB"/>
                <w14:ligatures w14:val="none"/>
              </w:rPr>
              <w:t>Посебни циљ 1.</w:t>
            </w:r>
          </w:p>
        </w:tc>
        <w:tc>
          <w:tcPr>
            <w:tcW w:w="1636" w:type="dxa"/>
            <w:tcBorders>
              <w:top w:val="single" w:sz="4" w:space="0" w:color="000000"/>
              <w:start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1.400</w:t>
            </w:r>
          </w:p>
        </w:tc>
        <w:tc>
          <w:tcPr>
            <w:tcW w:w="1642" w:type="dxa"/>
            <w:tcBorders>
              <w:top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1.210</w:t>
            </w:r>
          </w:p>
        </w:tc>
        <w:tc>
          <w:tcPr>
            <w:tcW w:w="1773" w:type="dxa"/>
            <w:tcBorders>
              <w:top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2.610</w:t>
            </w:r>
          </w:p>
        </w:tc>
      </w:tr>
      <w:tr>
        <w:trPr>
          <w:trHeight w:val="222" w:hRule="atLeast"/>
        </w:trPr>
        <w:tc>
          <w:tcPr>
            <w:tcW w:w="320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Мера 1.1</w:t>
            </w:r>
          </w:p>
        </w:tc>
        <w:tc>
          <w:tcPr>
            <w:tcW w:w="1636"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600</w:t>
            </w:r>
          </w:p>
        </w:tc>
        <w:tc>
          <w:tcPr>
            <w:tcW w:w="1642"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0</w:t>
            </w:r>
          </w:p>
        </w:tc>
        <w:tc>
          <w:tcPr>
            <w:tcW w:w="1773"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600</w:t>
            </w:r>
          </w:p>
        </w:tc>
      </w:tr>
      <w:tr>
        <w:trPr>
          <w:trHeight w:val="222" w:hRule="atLeast"/>
        </w:trPr>
        <w:tc>
          <w:tcPr>
            <w:tcW w:w="3203"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Мера 1.2</w:t>
            </w:r>
          </w:p>
        </w:tc>
        <w:tc>
          <w:tcPr>
            <w:tcW w:w="163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350</w:t>
            </w:r>
          </w:p>
        </w:tc>
        <w:tc>
          <w:tcPr>
            <w:tcW w:w="1642"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410</w:t>
            </w:r>
          </w:p>
        </w:tc>
        <w:tc>
          <w:tcPr>
            <w:tcW w:w="1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760</w:t>
            </w:r>
          </w:p>
        </w:tc>
      </w:tr>
      <w:tr>
        <w:trPr>
          <w:trHeight w:val="222" w:hRule="atLeast"/>
        </w:trPr>
        <w:tc>
          <w:tcPr>
            <w:tcW w:w="3203"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Мера 1.3</w:t>
            </w:r>
          </w:p>
        </w:tc>
        <w:tc>
          <w:tcPr>
            <w:tcW w:w="163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50</w:t>
            </w:r>
          </w:p>
        </w:tc>
        <w:tc>
          <w:tcPr>
            <w:tcW w:w="1642"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300</w:t>
            </w:r>
          </w:p>
        </w:tc>
        <w:tc>
          <w:tcPr>
            <w:tcW w:w="1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350</w:t>
            </w:r>
          </w:p>
        </w:tc>
      </w:tr>
      <w:tr>
        <w:trPr>
          <w:trHeight w:val="222" w:hRule="atLeast"/>
        </w:trPr>
        <w:tc>
          <w:tcPr>
            <w:tcW w:w="3203"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Мера 1.4</w:t>
            </w:r>
          </w:p>
        </w:tc>
        <w:tc>
          <w:tcPr>
            <w:tcW w:w="163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400</w:t>
            </w:r>
          </w:p>
        </w:tc>
        <w:tc>
          <w:tcPr>
            <w:tcW w:w="1642"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500</w:t>
            </w:r>
          </w:p>
        </w:tc>
        <w:tc>
          <w:tcPr>
            <w:tcW w:w="1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900</w:t>
            </w:r>
          </w:p>
        </w:tc>
      </w:tr>
      <w:tr>
        <w:trPr>
          <w:trHeight w:val="222" w:hRule="atLeast"/>
        </w:trPr>
        <w:tc>
          <w:tcPr>
            <w:tcW w:w="3203" w:type="dxa"/>
            <w:tcBorders>
              <w:start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rPr>
                <w:rFonts w:ascii="Tahoma" w:hAnsi="Tahoma" w:eastAsia="Times New Roman" w:cs="Tahoma"/>
                <w:b/>
                <w:b/>
                <w:bCs/>
                <w:color w:val="FFFFFF"/>
                <w:kern w:val="0"/>
                <w:sz w:val="18"/>
                <w:szCs w:val="18"/>
                <w:lang w:val="sr-BA" w:eastAsia="en-GB"/>
                <w14:ligatures w14:val="none"/>
              </w:rPr>
            </w:pPr>
            <w:r>
              <w:rPr>
                <w:rFonts w:eastAsia="Times New Roman" w:cs="Tahoma" w:ascii="Tahoma" w:hAnsi="Tahoma"/>
                <w:b/>
                <w:bCs/>
                <w:color w:val="FFFFFF"/>
                <w:kern w:val="0"/>
                <w:sz w:val="18"/>
                <w:szCs w:val="18"/>
                <w:lang w:val="sr-BA" w:eastAsia="en-GB"/>
                <w14:ligatures w14:val="none"/>
              </w:rPr>
              <w:t>Посебни циљ 2.</w:t>
            </w:r>
          </w:p>
        </w:tc>
        <w:tc>
          <w:tcPr>
            <w:tcW w:w="1636" w:type="dxa"/>
            <w:tcBorders>
              <w:top w:val="single" w:sz="4" w:space="0" w:color="000000"/>
              <w:start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42.450</w:t>
            </w:r>
          </w:p>
        </w:tc>
        <w:tc>
          <w:tcPr>
            <w:tcW w:w="1642" w:type="dxa"/>
            <w:tcBorders>
              <w:top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4.700</w:t>
            </w:r>
          </w:p>
        </w:tc>
        <w:tc>
          <w:tcPr>
            <w:tcW w:w="1773" w:type="dxa"/>
            <w:tcBorders>
              <w:top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47.150</w:t>
            </w:r>
          </w:p>
        </w:tc>
      </w:tr>
      <w:tr>
        <w:trPr>
          <w:trHeight w:val="222" w:hRule="atLeast"/>
        </w:trPr>
        <w:tc>
          <w:tcPr>
            <w:tcW w:w="3203"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rPr>
                <w:rFonts w:ascii="Tahoma" w:hAnsi="Tahoma" w:eastAsia="Times New Roman" w:cs="Tahoma"/>
                <w:color w:val="000000"/>
                <w:kern w:val="0"/>
                <w:sz w:val="18"/>
                <w:szCs w:val="18"/>
                <w:lang w:val="sr-BA" w:eastAsia="en-GB"/>
                <w14:ligatures w14:val="none"/>
              </w:rPr>
            </w:pPr>
            <w:r>
              <w:rPr>
                <w:rFonts w:eastAsia="Times New Roman" w:cs="Tahoma" w:ascii="Tahoma" w:hAnsi="Tahoma"/>
                <w:color w:val="000000"/>
                <w:kern w:val="0"/>
                <w:sz w:val="18"/>
                <w:szCs w:val="18"/>
                <w:lang w:val="sr-BA" w:eastAsia="en-GB"/>
                <w14:ligatures w14:val="none"/>
              </w:rPr>
              <w:t>Мера 2.1</w:t>
            </w:r>
          </w:p>
        </w:tc>
        <w:tc>
          <w:tcPr>
            <w:tcW w:w="163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42.450</w:t>
            </w:r>
          </w:p>
        </w:tc>
        <w:tc>
          <w:tcPr>
            <w:tcW w:w="1642"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4.700</w:t>
            </w:r>
          </w:p>
        </w:tc>
        <w:tc>
          <w:tcPr>
            <w:tcW w:w="1773"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47.150</w:t>
            </w:r>
          </w:p>
        </w:tc>
      </w:tr>
      <w:tr>
        <w:trPr>
          <w:trHeight w:val="222" w:hRule="atLeast"/>
        </w:trPr>
        <w:tc>
          <w:tcPr>
            <w:tcW w:w="3203"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rPr>
                <w:rFonts w:ascii="Tahoma" w:hAnsi="Tahoma" w:eastAsia="Times New Roman" w:cs="Tahoma"/>
                <w:color w:val="000000"/>
                <w:kern w:val="0"/>
                <w:sz w:val="18"/>
                <w:szCs w:val="18"/>
                <w:lang w:val="sr-BA" w:eastAsia="en-GB"/>
                <w14:ligatures w14:val="none"/>
              </w:rPr>
            </w:pPr>
            <w:r>
              <w:rPr>
                <w:rFonts w:eastAsia="Times New Roman" w:cs="Tahoma" w:ascii="Tahoma" w:hAnsi="Tahoma"/>
                <w:color w:val="000000"/>
                <w:kern w:val="0"/>
                <w:sz w:val="18"/>
                <w:szCs w:val="18"/>
                <w:lang w:val="sr-BA" w:eastAsia="en-GB"/>
                <w14:ligatures w14:val="none"/>
              </w:rPr>
              <w:t>Мера 2.2</w:t>
            </w:r>
          </w:p>
        </w:tc>
        <w:tc>
          <w:tcPr>
            <w:tcW w:w="1636"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0</w:t>
            </w:r>
          </w:p>
        </w:tc>
        <w:tc>
          <w:tcPr>
            <w:tcW w:w="1642"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0</w:t>
            </w:r>
          </w:p>
        </w:tc>
        <w:tc>
          <w:tcPr>
            <w:tcW w:w="1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0</w:t>
            </w:r>
          </w:p>
        </w:tc>
      </w:tr>
      <w:tr>
        <w:trPr>
          <w:trHeight w:val="222" w:hRule="atLeast"/>
        </w:trPr>
        <w:tc>
          <w:tcPr>
            <w:tcW w:w="3203" w:type="dxa"/>
            <w:tcBorders>
              <w:start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rPr>
                <w:rFonts w:ascii="Tahoma" w:hAnsi="Tahoma" w:eastAsia="Times New Roman" w:cs="Tahoma"/>
                <w:b/>
                <w:b/>
                <w:bCs/>
                <w:color w:val="FFFFFF"/>
                <w:kern w:val="0"/>
                <w:sz w:val="18"/>
                <w:szCs w:val="18"/>
                <w:lang w:val="sr-BA" w:eastAsia="en-GB"/>
                <w14:ligatures w14:val="none"/>
              </w:rPr>
            </w:pPr>
            <w:r>
              <w:rPr>
                <w:rFonts w:eastAsia="Times New Roman" w:cs="Tahoma" w:ascii="Tahoma" w:hAnsi="Tahoma"/>
                <w:b/>
                <w:bCs/>
                <w:color w:val="FFFFFF"/>
                <w:kern w:val="0"/>
                <w:sz w:val="18"/>
                <w:szCs w:val="18"/>
                <w:lang w:val="sr-BA" w:eastAsia="en-GB"/>
                <w14:ligatures w14:val="none"/>
              </w:rPr>
              <w:t>Посебни циљ 3.</w:t>
            </w:r>
          </w:p>
        </w:tc>
        <w:tc>
          <w:tcPr>
            <w:tcW w:w="1636" w:type="dxa"/>
            <w:tcBorders>
              <w:top w:val="single" w:sz="4" w:space="0" w:color="000000"/>
              <w:start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325</w:t>
            </w:r>
          </w:p>
        </w:tc>
        <w:tc>
          <w:tcPr>
            <w:tcW w:w="1642" w:type="dxa"/>
            <w:tcBorders>
              <w:top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0</w:t>
            </w:r>
          </w:p>
        </w:tc>
        <w:tc>
          <w:tcPr>
            <w:tcW w:w="1773" w:type="dxa"/>
            <w:tcBorders>
              <w:top w:val="single" w:sz="4" w:space="0" w:color="000000"/>
              <w:bottom w:val="single" w:sz="4" w:space="0" w:color="000000"/>
              <w:end w:val="single" w:sz="4" w:space="0" w:color="000000"/>
            </w:tcBorders>
            <w:shd w:color="000000" w:fill="5B9BD5" w:val="clear"/>
            <w:vAlign w:val="bottom"/>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325</w:t>
            </w:r>
          </w:p>
        </w:tc>
      </w:tr>
      <w:tr>
        <w:trPr>
          <w:trHeight w:val="222" w:hRule="atLeast"/>
        </w:trPr>
        <w:tc>
          <w:tcPr>
            <w:tcW w:w="3203"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rPr>
                <w:rFonts w:ascii="Tahoma" w:hAnsi="Tahoma" w:eastAsia="Times New Roman" w:cs="Tahoma"/>
                <w:color w:val="000000"/>
                <w:kern w:val="0"/>
                <w:sz w:val="18"/>
                <w:szCs w:val="18"/>
                <w:lang w:val="sr-BA" w:eastAsia="en-GB"/>
                <w14:ligatures w14:val="none"/>
              </w:rPr>
            </w:pPr>
            <w:r>
              <w:rPr>
                <w:rFonts w:eastAsia="Times New Roman" w:cs="Tahoma" w:ascii="Tahoma" w:hAnsi="Tahoma"/>
                <w:color w:val="000000"/>
                <w:kern w:val="0"/>
                <w:sz w:val="18"/>
                <w:szCs w:val="18"/>
                <w:lang w:val="sr-BA" w:eastAsia="en-GB"/>
                <w14:ligatures w14:val="none"/>
              </w:rPr>
              <w:t>Мера 3.1</w:t>
            </w:r>
          </w:p>
        </w:tc>
        <w:tc>
          <w:tcPr>
            <w:tcW w:w="163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200</w:t>
            </w:r>
          </w:p>
        </w:tc>
        <w:tc>
          <w:tcPr>
            <w:tcW w:w="1642"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0</w:t>
            </w:r>
          </w:p>
        </w:tc>
        <w:tc>
          <w:tcPr>
            <w:tcW w:w="1773"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200</w:t>
            </w:r>
          </w:p>
        </w:tc>
      </w:tr>
      <w:tr>
        <w:trPr>
          <w:trHeight w:val="222" w:hRule="atLeast"/>
        </w:trPr>
        <w:tc>
          <w:tcPr>
            <w:tcW w:w="3203"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rPr>
                <w:rFonts w:ascii="Tahoma" w:hAnsi="Tahoma" w:eastAsia="Times New Roman" w:cs="Tahoma"/>
                <w:color w:val="000000"/>
                <w:kern w:val="0"/>
                <w:sz w:val="18"/>
                <w:szCs w:val="18"/>
                <w:lang w:val="sr-BA" w:eastAsia="en-GB"/>
                <w14:ligatures w14:val="none"/>
              </w:rPr>
            </w:pPr>
            <w:r>
              <w:rPr>
                <w:rFonts w:eastAsia="Times New Roman" w:cs="Tahoma" w:ascii="Tahoma" w:hAnsi="Tahoma"/>
                <w:color w:val="000000"/>
                <w:kern w:val="0"/>
                <w:sz w:val="18"/>
                <w:szCs w:val="18"/>
                <w:lang w:val="sr-BA" w:eastAsia="en-GB"/>
                <w14:ligatures w14:val="none"/>
              </w:rPr>
              <w:t>Мера 3.2</w:t>
            </w:r>
          </w:p>
        </w:tc>
        <w:tc>
          <w:tcPr>
            <w:tcW w:w="163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125</w:t>
            </w:r>
          </w:p>
        </w:tc>
        <w:tc>
          <w:tcPr>
            <w:tcW w:w="1642"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0</w:t>
            </w:r>
          </w:p>
        </w:tc>
        <w:tc>
          <w:tcPr>
            <w:tcW w:w="1773"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end"/>
              <w:rPr>
                <w:rFonts w:ascii="Tahoma" w:hAnsi="Tahoma" w:eastAsia="Times New Roman" w:cs="Tahoma"/>
                <w:color w:val="000000"/>
                <w:kern w:val="0"/>
                <w:sz w:val="18"/>
                <w:szCs w:val="18"/>
                <w:lang w:val="sr-BA" w:eastAsia="en-GB"/>
                <w14:ligatures w14:val="none"/>
              </w:rPr>
            </w:pPr>
            <w:r>
              <w:rPr>
                <w:rFonts w:cs="Tahoma" w:ascii="Tahoma" w:hAnsi="Tahoma"/>
                <w:color w:val="000000"/>
                <w:sz w:val="18"/>
                <w:szCs w:val="18"/>
              </w:rPr>
              <w:t>125</w:t>
            </w:r>
          </w:p>
        </w:tc>
      </w:tr>
      <w:tr>
        <w:trPr>
          <w:trHeight w:val="222" w:hRule="atLeast"/>
        </w:trPr>
        <w:tc>
          <w:tcPr>
            <w:tcW w:w="3203" w:type="dxa"/>
            <w:tcBorders>
              <w:start w:val="single" w:sz="4" w:space="0" w:color="000000"/>
              <w:bottom w:val="single" w:sz="4" w:space="0" w:color="000000"/>
              <w:end w:val="single" w:sz="4" w:space="0" w:color="000000"/>
            </w:tcBorders>
            <w:shd w:color="auto" w:fill="D9D9D9" w:val="clear"/>
            <w:vAlign w:val="bottom"/>
          </w:tcPr>
          <w:p>
            <w:pPr>
              <w:pStyle w:val="Normal"/>
              <w:widowControl w:val="false"/>
              <w:spacing w:lineRule="auto" w:line="240" w:before="0" w:after="0"/>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t>УКУПНО</w:t>
            </w:r>
          </w:p>
        </w:tc>
        <w:tc>
          <w:tcPr>
            <w:tcW w:w="1636" w:type="dxa"/>
            <w:tcBorders>
              <w:top w:val="single" w:sz="4" w:space="0" w:color="000000"/>
              <w:start w:val="single" w:sz="4" w:space="0" w:color="000000"/>
              <w:bottom w:val="single" w:sz="4" w:space="0" w:color="000000"/>
              <w:end w:val="single" w:sz="4" w:space="0" w:color="000000"/>
            </w:tcBorders>
            <w:shd w:color="000000" w:fill="D9D9D9" w:val="clear"/>
            <w:vAlign w:val="bottom"/>
          </w:tcPr>
          <w:p>
            <w:pPr>
              <w:pStyle w:val="Normal"/>
              <w:widowControl w:val="false"/>
              <w:spacing w:lineRule="auto" w:line="240" w:before="0" w:after="0"/>
              <w:jc w:val="end"/>
              <w:rPr>
                <w:rFonts w:ascii="Tahoma" w:hAnsi="Tahoma" w:eastAsia="Times New Roman" w:cs="Tahoma"/>
                <w:b/>
                <w:b/>
                <w:bCs/>
                <w:color w:val="000000"/>
                <w:kern w:val="0"/>
                <w:sz w:val="18"/>
                <w:szCs w:val="18"/>
                <w:lang w:val="sr-BA" w:eastAsia="en-GB"/>
                <w14:ligatures w14:val="none"/>
              </w:rPr>
            </w:pPr>
            <w:r>
              <w:rPr>
                <w:rFonts w:cs="Tahoma" w:ascii="Tahoma" w:hAnsi="Tahoma"/>
                <w:b/>
                <w:bCs/>
                <w:color w:val="000000"/>
                <w:sz w:val="18"/>
                <w:szCs w:val="18"/>
              </w:rPr>
              <w:t>44.175</w:t>
            </w:r>
          </w:p>
        </w:tc>
        <w:tc>
          <w:tcPr>
            <w:tcW w:w="1642" w:type="dxa"/>
            <w:tcBorders>
              <w:top w:val="single" w:sz="4" w:space="0" w:color="000000"/>
              <w:bottom w:val="single" w:sz="4" w:space="0" w:color="000000"/>
              <w:end w:val="single" w:sz="4" w:space="0" w:color="000000"/>
            </w:tcBorders>
            <w:shd w:color="000000" w:fill="D9D9D9" w:val="clear"/>
            <w:vAlign w:val="bottom"/>
          </w:tcPr>
          <w:p>
            <w:pPr>
              <w:pStyle w:val="Normal"/>
              <w:widowControl w:val="false"/>
              <w:spacing w:lineRule="auto" w:line="240" w:before="0" w:after="0"/>
              <w:jc w:val="end"/>
              <w:rPr>
                <w:rFonts w:ascii="Tahoma" w:hAnsi="Tahoma" w:eastAsia="Times New Roman" w:cs="Tahoma"/>
                <w:b/>
                <w:b/>
                <w:bCs/>
                <w:color w:val="000000"/>
                <w:kern w:val="0"/>
                <w:sz w:val="18"/>
                <w:szCs w:val="18"/>
                <w:lang w:val="sr-BA" w:eastAsia="en-GB"/>
                <w14:ligatures w14:val="none"/>
              </w:rPr>
            </w:pPr>
            <w:r>
              <w:rPr>
                <w:rFonts w:cs="Tahoma" w:ascii="Tahoma" w:hAnsi="Tahoma"/>
                <w:b/>
                <w:bCs/>
                <w:color w:val="000000"/>
                <w:sz w:val="18"/>
                <w:szCs w:val="18"/>
              </w:rPr>
              <w:t>5.910</w:t>
            </w:r>
          </w:p>
        </w:tc>
        <w:tc>
          <w:tcPr>
            <w:tcW w:w="1773" w:type="dxa"/>
            <w:tcBorders>
              <w:top w:val="single" w:sz="4" w:space="0" w:color="000000"/>
              <w:bottom w:val="single" w:sz="4" w:space="0" w:color="000000"/>
              <w:end w:val="single" w:sz="4" w:space="0" w:color="000000"/>
            </w:tcBorders>
            <w:shd w:color="000000" w:fill="D9D9D9" w:val="clear"/>
            <w:vAlign w:val="bottom"/>
          </w:tcPr>
          <w:p>
            <w:pPr>
              <w:pStyle w:val="Normal"/>
              <w:widowControl w:val="false"/>
              <w:spacing w:lineRule="auto" w:line="240" w:before="0" w:after="0"/>
              <w:jc w:val="end"/>
              <w:rPr>
                <w:rFonts w:ascii="Tahoma" w:hAnsi="Tahoma" w:eastAsia="Times New Roman" w:cs="Tahoma"/>
                <w:b/>
                <w:b/>
                <w:bCs/>
                <w:color w:val="000000"/>
                <w:kern w:val="0"/>
                <w:sz w:val="18"/>
                <w:szCs w:val="18"/>
                <w:lang w:val="sr-BA" w:eastAsia="en-GB"/>
                <w14:ligatures w14:val="none"/>
              </w:rPr>
            </w:pPr>
            <w:r>
              <w:rPr>
                <w:rFonts w:cs="Tahoma" w:ascii="Tahoma" w:hAnsi="Tahoma"/>
                <w:b/>
                <w:bCs/>
                <w:color w:val="000000"/>
                <w:sz w:val="18"/>
                <w:szCs w:val="18"/>
              </w:rPr>
              <w:t>50.085</w:t>
            </w:r>
          </w:p>
        </w:tc>
      </w:tr>
      <w:tr>
        <w:trPr>
          <w:trHeight w:val="222" w:hRule="atLeast"/>
        </w:trPr>
        <w:tc>
          <w:tcPr>
            <w:tcW w:w="3203" w:type="dxa"/>
            <w:tcBorders>
              <w:top w:val="single" w:sz="4" w:space="0" w:color="000000"/>
              <w:start w:val="single" w:sz="4" w:space="0" w:color="000000"/>
              <w:bottom w:val="single" w:sz="4" w:space="0" w:color="000000"/>
              <w:end w:val="single" w:sz="4" w:space="0" w:color="000000"/>
            </w:tcBorders>
            <w:shd w:color="auto" w:fill="D9D9D9" w:val="clear"/>
            <w:vAlign w:val="bottom"/>
          </w:tcPr>
          <w:p>
            <w:pPr>
              <w:pStyle w:val="Normal"/>
              <w:widowControl w:val="false"/>
              <w:spacing w:lineRule="auto" w:line="240" w:before="0" w:after="0"/>
              <w:rPr>
                <w:rFonts w:ascii="Tahoma" w:hAnsi="Tahoma" w:eastAsia="Times New Roman" w:cs="Tahoma"/>
                <w:bCs/>
                <w:color w:val="000000"/>
                <w:kern w:val="0"/>
                <w:sz w:val="18"/>
                <w:szCs w:val="18"/>
                <w:lang w:val="sr-BA" w:eastAsia="en-GB"/>
                <w14:ligatures w14:val="none"/>
              </w:rPr>
            </w:pPr>
            <w:r>
              <w:rPr>
                <w:rFonts w:eastAsia="Times New Roman" w:cs="Tahoma" w:ascii="Tahoma" w:hAnsi="Tahoma"/>
                <w:bCs/>
                <w:color w:val="000000"/>
                <w:kern w:val="0"/>
                <w:sz w:val="18"/>
                <w:szCs w:val="18"/>
                <w:lang w:val="sr-BA" w:eastAsia="en-GB"/>
                <w14:ligatures w14:val="none"/>
              </w:rPr>
              <w:t>% извора финансирања</w:t>
            </w:r>
          </w:p>
        </w:tc>
        <w:tc>
          <w:tcPr>
            <w:tcW w:w="1636" w:type="dxa"/>
            <w:tcBorders>
              <w:top w:val="single" w:sz="4" w:space="0" w:color="000000"/>
              <w:start w:val="single" w:sz="4" w:space="0" w:color="000000"/>
              <w:bottom w:val="single" w:sz="4" w:space="0" w:color="000000"/>
              <w:end w:val="single" w:sz="4" w:space="0" w:color="000000"/>
            </w:tcBorders>
            <w:shd w:color="auto" w:fill="D9D9D9" w:val="clear"/>
            <w:vAlign w:val="center"/>
          </w:tcPr>
          <w:p>
            <w:pPr>
              <w:pStyle w:val="Normal"/>
              <w:widowControl w:val="false"/>
              <w:spacing w:lineRule="auto" w:line="240" w:before="0" w:after="0"/>
              <w:jc w:val="end"/>
              <w:rPr>
                <w:rFonts w:ascii="Tahoma" w:hAnsi="Tahoma" w:eastAsia="Times New Roman" w:cs="Tahoma"/>
                <w:bCs/>
                <w:color w:val="000000"/>
                <w:kern w:val="0"/>
                <w:sz w:val="18"/>
                <w:szCs w:val="18"/>
                <w:lang w:val="sr-BA" w:eastAsia="en-GB"/>
                <w14:ligatures w14:val="none"/>
              </w:rPr>
            </w:pPr>
            <w:r>
              <w:rPr>
                <w:rFonts w:eastAsia="Times New Roman" w:cs="Tahoma" w:ascii="Tahoma" w:hAnsi="Tahoma"/>
                <w:bCs/>
                <w:color w:val="000000"/>
                <w:kern w:val="0"/>
                <w:sz w:val="18"/>
                <w:szCs w:val="18"/>
                <w:lang w:val="sr-BA" w:eastAsia="en-GB"/>
                <w14:ligatures w14:val="none"/>
              </w:rPr>
              <w:t>88,2%</w:t>
            </w:r>
          </w:p>
        </w:tc>
        <w:tc>
          <w:tcPr>
            <w:tcW w:w="1642" w:type="dxa"/>
            <w:tcBorders>
              <w:top w:val="single" w:sz="4" w:space="0" w:color="000000"/>
              <w:bottom w:val="single" w:sz="4" w:space="0" w:color="000000"/>
              <w:end w:val="single" w:sz="4" w:space="0" w:color="000000"/>
            </w:tcBorders>
            <w:shd w:color="auto" w:fill="D9D9D9" w:val="clear"/>
            <w:vAlign w:val="center"/>
          </w:tcPr>
          <w:p>
            <w:pPr>
              <w:pStyle w:val="Normal"/>
              <w:widowControl w:val="false"/>
              <w:spacing w:lineRule="auto" w:line="240" w:before="0" w:after="0"/>
              <w:jc w:val="end"/>
              <w:rPr>
                <w:rFonts w:ascii="Tahoma" w:hAnsi="Tahoma" w:eastAsia="Times New Roman" w:cs="Tahoma"/>
                <w:bCs/>
                <w:color w:val="000000"/>
                <w:kern w:val="0"/>
                <w:sz w:val="18"/>
                <w:szCs w:val="18"/>
                <w:lang w:val="sr-BA" w:eastAsia="en-GB"/>
                <w14:ligatures w14:val="none"/>
              </w:rPr>
            </w:pPr>
            <w:r>
              <w:rPr>
                <w:rFonts w:eastAsia="Times New Roman" w:cs="Tahoma" w:ascii="Tahoma" w:hAnsi="Tahoma"/>
                <w:bCs/>
                <w:color w:val="000000"/>
                <w:kern w:val="0"/>
                <w:sz w:val="18"/>
                <w:szCs w:val="18"/>
                <w:lang w:val="sr-BA" w:eastAsia="en-GB"/>
                <w14:ligatures w14:val="none"/>
              </w:rPr>
              <w:t>11,8%</w:t>
            </w:r>
          </w:p>
        </w:tc>
        <w:tc>
          <w:tcPr>
            <w:tcW w:w="1773" w:type="dxa"/>
            <w:tcBorders>
              <w:top w:val="single" w:sz="4" w:space="0" w:color="000000"/>
              <w:bottom w:val="single" w:sz="4" w:space="0" w:color="000000"/>
              <w:end w:val="single" w:sz="4" w:space="0" w:color="000000"/>
            </w:tcBorders>
            <w:shd w:color="auto" w:fill="D9D9D9" w:val="clear"/>
            <w:vAlign w:val="center"/>
          </w:tcPr>
          <w:p>
            <w:pPr>
              <w:pStyle w:val="Normal"/>
              <w:widowControl w:val="false"/>
              <w:spacing w:lineRule="auto" w:line="240" w:before="0" w:after="0"/>
              <w:jc w:val="end"/>
              <w:rPr>
                <w:rFonts w:ascii="Tahoma" w:hAnsi="Tahoma" w:eastAsia="Times New Roman" w:cs="Tahoma"/>
                <w:bCs/>
                <w:color w:val="000000"/>
                <w:kern w:val="0"/>
                <w:sz w:val="18"/>
                <w:szCs w:val="18"/>
                <w:lang w:val="sr-BA" w:eastAsia="en-GB"/>
                <w14:ligatures w14:val="none"/>
              </w:rPr>
            </w:pPr>
            <w:r>
              <w:rPr>
                <w:rFonts w:eastAsia="Times New Roman" w:cs="Tahoma" w:ascii="Tahoma" w:hAnsi="Tahoma"/>
                <w:bCs/>
                <w:color w:val="000000"/>
                <w:kern w:val="0"/>
                <w:sz w:val="18"/>
                <w:szCs w:val="18"/>
                <w:lang w:val="sr-BA" w:eastAsia="en-GB"/>
                <w14:ligatures w14:val="none"/>
              </w:rPr>
            </w:r>
          </w:p>
        </w:tc>
      </w:tr>
    </w:tbl>
    <w:p>
      <w:pPr>
        <w:pStyle w:val="Normal"/>
        <w:jc w:val="center"/>
        <w:rPr>
          <w:rFonts w:ascii="Calibri" w:hAnsi="Calibri" w:eastAsia="Calibri" w:cs="Times New Roman"/>
          <w:kern w:val="0"/>
          <w:lang w:val="sr-BA"/>
          <w14:ligatures w14:val="none"/>
        </w:rPr>
      </w:pPr>
      <w:r>
        <w:rPr>
          <w:rFonts w:eastAsia="Calibri" w:cs="Times New Roman" w:ascii="Calibri" w:hAnsi="Calibri"/>
          <w:kern w:val="0"/>
          <w:lang w:val="sr-BA"/>
          <w14:ligatures w14:val="none"/>
        </w:rPr>
      </w:r>
    </w:p>
    <w:p>
      <w:pPr>
        <w:pStyle w:val="Normal"/>
        <w:jc w:val="center"/>
        <w:rPr>
          <w:rFonts w:ascii="Calibri" w:hAnsi="Calibri" w:eastAsia="Calibri" w:cs="Times New Roman"/>
          <w:kern w:val="0"/>
          <w:lang w:val="sr-BA"/>
          <w14:ligatures w14:val="none"/>
        </w:rPr>
      </w:pPr>
      <w:r>
        <w:rPr/>
        <w:drawing>
          <wp:inline distT="0" distB="0" distL="0" distR="0">
            <wp:extent cx="4594225" cy="3267075"/>
            <wp:effectExtent l="0" t="0" r="0" b="0"/>
            <wp:docPr id="11"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pPr>
        <w:pStyle w:val="Normal"/>
        <w:spacing w:before="0" w:after="11"/>
        <w:ind w:start="-5" w:hanging="0"/>
        <w:jc w:val="center"/>
        <w:rPr>
          <w:rFonts w:ascii="Calibri" w:hAnsi="Calibri" w:eastAsia="Calibri" w:cs="Arial"/>
          <w:lang w:val="en-GB" w:eastAsia="en-GB"/>
        </w:rPr>
      </w:pPr>
      <w:r>
        <w:rPr>
          <w:rFonts w:eastAsia="Calibri" w:cs="Arial" w:ascii="Calibri" w:hAnsi="Calibri"/>
          <w:lang w:val="en-GB" w:eastAsia="en-GB"/>
        </w:rPr>
      </w:r>
    </w:p>
    <w:p>
      <w:pPr>
        <w:pStyle w:val="Normal"/>
        <w:spacing w:before="0" w:after="11"/>
        <w:ind w:start="-5" w:hanging="0"/>
        <w:jc w:val="center"/>
        <w:rPr>
          <w:rFonts w:ascii="Calibri" w:hAnsi="Calibri" w:eastAsia="Calibri" w:cs="Arial"/>
          <w:lang w:val="en-GB" w:eastAsia="en-GB"/>
        </w:rPr>
      </w:pPr>
      <w:r>
        <w:rPr>
          <w:rFonts w:eastAsia="Calibri" w:cs="Arial" w:ascii="Calibri" w:hAnsi="Calibri"/>
          <w:lang w:val="en-GB" w:eastAsia="en-GB"/>
        </w:rPr>
      </w:r>
    </w:p>
    <w:p>
      <w:pPr>
        <w:pStyle w:val="Normal"/>
        <w:ind w:start="-6" w:hanging="0"/>
        <w:jc w:val="both"/>
        <w:rPr>
          <w:rFonts w:ascii="Tahoma" w:hAnsi="Tahoma" w:eastAsia="Calibri" w:cs="Tahoma"/>
          <w:sz w:val="20"/>
          <w:szCs w:val="20"/>
          <w:lang w:val="en-GB" w:eastAsia="en-GB"/>
        </w:rPr>
      </w:pPr>
      <w:r>
        <w:rPr>
          <w:rFonts w:eastAsia="Calibri" w:cs="Tahoma" w:ascii="Tahoma" w:hAnsi="Tahoma"/>
          <w:sz w:val="20"/>
          <w:szCs w:val="20"/>
          <w:lang w:val="en-GB" w:eastAsia="en-GB"/>
        </w:rPr>
        <w:t xml:space="preserve">Од укупних средстава која су планирана за реализацију Акционог плана, највећи износ, је предвиђен за реализацију Посебног циља 2 - Повећање доступности и обухвата услуга социјалне заштите за рањиве групе, и то за Меру </w:t>
      </w:r>
      <w:r>
        <w:rPr>
          <w:rFonts w:eastAsia="Calibri" w:cs="Tahoma" w:ascii="Tahoma" w:hAnsi="Tahoma"/>
          <w:sz w:val="20"/>
          <w:szCs w:val="20"/>
          <w:lang w:val="sr-BA" w:eastAsia="en-GB"/>
        </w:rPr>
        <w:t>2</w:t>
      </w:r>
      <w:r>
        <w:rPr>
          <w:rFonts w:eastAsia="Calibri" w:cs="Tahoma" w:ascii="Tahoma" w:hAnsi="Tahoma"/>
          <w:sz w:val="20"/>
          <w:szCs w:val="20"/>
          <w:lang w:val="en-GB" w:eastAsia="en-GB"/>
        </w:rPr>
        <w:t xml:space="preserve">.1. - Успостављање и пружање локалних услуга социјалне заштите – Лични пратилац и Помоћ у кући. </w:t>
      </w:r>
      <w:r>
        <w:rPr>
          <w:rFonts w:eastAsia="Calibri" w:cs="Tahoma" w:ascii="Tahoma" w:hAnsi="Tahoma"/>
          <w:sz w:val="20"/>
          <w:szCs w:val="20"/>
          <w:lang w:val="sr-BA" w:eastAsia="en-GB"/>
        </w:rPr>
        <w:t>Укупно је п</w:t>
      </w:r>
      <w:r>
        <w:rPr>
          <w:rFonts w:eastAsia="Calibri" w:cs="Tahoma" w:ascii="Tahoma" w:hAnsi="Tahoma"/>
          <w:sz w:val="20"/>
          <w:szCs w:val="20"/>
          <w:lang w:val="en-GB" w:eastAsia="en-GB"/>
        </w:rPr>
        <w:t xml:space="preserve">редвиђено </w:t>
      </w:r>
      <w:r>
        <w:rPr>
          <w:rFonts w:eastAsia="Calibri" w:cs="Tahoma" w:ascii="Tahoma" w:hAnsi="Tahoma"/>
          <w:sz w:val="20"/>
          <w:szCs w:val="20"/>
          <w:lang w:val="sr-BA" w:eastAsia="en-GB"/>
        </w:rPr>
        <w:t>47,1</w:t>
      </w:r>
      <w:r>
        <w:rPr>
          <w:rFonts w:eastAsia="Calibri" w:cs="Tahoma" w:ascii="Tahoma" w:hAnsi="Tahoma"/>
          <w:sz w:val="20"/>
          <w:szCs w:val="20"/>
          <w:lang w:val="en-GB" w:eastAsia="en-GB"/>
        </w:rPr>
        <w:t xml:space="preserve"> милиона динара, што чини </w:t>
      </w:r>
      <w:r>
        <w:rPr>
          <w:rFonts w:eastAsia="Calibri" w:cs="Tahoma" w:ascii="Tahoma" w:hAnsi="Tahoma"/>
          <w:sz w:val="20"/>
          <w:szCs w:val="20"/>
          <w:lang w:val="sr-BA" w:eastAsia="en-GB"/>
        </w:rPr>
        <w:t>94,1</w:t>
      </w:r>
      <w:r>
        <w:rPr>
          <w:rFonts w:eastAsia="Calibri" w:cs="Tahoma" w:ascii="Tahoma" w:hAnsi="Tahoma"/>
          <w:sz w:val="20"/>
          <w:szCs w:val="20"/>
          <w:lang w:val="en-GB" w:eastAsia="en-GB"/>
        </w:rPr>
        <w:t xml:space="preserve">% укупних средстава предвиђених планом. Овај циљ ће се доминантно финансирати из </w:t>
      </w:r>
      <w:r>
        <w:rPr>
          <w:rFonts w:eastAsia="Calibri" w:cs="Tahoma" w:ascii="Tahoma" w:hAnsi="Tahoma"/>
          <w:sz w:val="20"/>
          <w:szCs w:val="20"/>
          <w:lang w:val="sr-BA" w:eastAsia="en-GB"/>
        </w:rPr>
        <w:t>буџетских средстава Општине, док ће 10% бити финансирано из екстерних извора.</w:t>
      </w:r>
      <w:r>
        <w:rPr>
          <w:rFonts w:eastAsia="Calibri" w:cs="Tahoma" w:ascii="Tahoma" w:hAnsi="Tahoma"/>
          <w:sz w:val="20"/>
          <w:szCs w:val="20"/>
          <w:lang w:val="en-GB" w:eastAsia="en-GB"/>
        </w:rPr>
        <w:t xml:space="preserve"> </w:t>
      </w:r>
    </w:p>
    <w:p>
      <w:pPr>
        <w:pStyle w:val="Normal"/>
        <w:ind w:start="-6" w:hanging="0"/>
        <w:jc w:val="both"/>
        <w:rPr>
          <w:rFonts w:ascii="Tahoma" w:hAnsi="Tahoma" w:eastAsia="Calibri" w:cs="Tahoma"/>
          <w:sz w:val="20"/>
          <w:szCs w:val="20"/>
          <w:lang w:val="en-GB" w:eastAsia="en-GB"/>
        </w:rPr>
      </w:pPr>
      <w:r>
        <w:rPr>
          <w:rFonts w:eastAsia="Calibri" w:cs="Tahoma" w:ascii="Tahoma" w:hAnsi="Tahoma"/>
          <w:sz w:val="20"/>
          <w:szCs w:val="20"/>
          <w:lang w:val="en-GB" w:eastAsia="en-GB"/>
        </w:rPr>
        <w:t xml:space="preserve">За Посебан циљ 1 – планирано је </w:t>
      </w:r>
      <w:r>
        <w:rPr>
          <w:rFonts w:eastAsia="Calibri" w:cs="Tahoma" w:ascii="Tahoma" w:hAnsi="Tahoma"/>
          <w:sz w:val="20"/>
          <w:szCs w:val="20"/>
          <w:lang w:val="sr-BA" w:eastAsia="en-GB"/>
        </w:rPr>
        <w:t>2,6</w:t>
      </w:r>
      <w:r>
        <w:rPr>
          <w:rFonts w:eastAsia="Calibri" w:cs="Tahoma" w:ascii="Tahoma" w:hAnsi="Tahoma"/>
          <w:sz w:val="20"/>
          <w:szCs w:val="20"/>
          <w:lang w:val="en-GB" w:eastAsia="en-GB"/>
        </w:rPr>
        <w:t xml:space="preserve"> милиона динара односно </w:t>
      </w:r>
      <w:r>
        <w:rPr>
          <w:rFonts w:eastAsia="Calibri" w:cs="Tahoma" w:ascii="Tahoma" w:hAnsi="Tahoma"/>
          <w:sz w:val="20"/>
          <w:szCs w:val="20"/>
          <w:lang w:val="sr-BA" w:eastAsia="en-GB"/>
        </w:rPr>
        <w:t>5,2</w:t>
      </w:r>
      <w:r>
        <w:rPr>
          <w:rFonts w:eastAsia="Calibri" w:cs="Tahoma" w:ascii="Tahoma" w:hAnsi="Tahoma"/>
          <w:sz w:val="20"/>
          <w:szCs w:val="20"/>
          <w:lang w:val="en-GB" w:eastAsia="en-GB"/>
        </w:rPr>
        <w:t>% укупних средстава предвиђених планом</w:t>
      </w:r>
      <w:r>
        <w:rPr>
          <w:rFonts w:eastAsia="Calibri" w:cs="Tahoma" w:ascii="Tahoma" w:hAnsi="Tahoma"/>
          <w:sz w:val="20"/>
          <w:szCs w:val="20"/>
          <w:lang w:val="sr-BA" w:eastAsia="en-GB"/>
        </w:rPr>
        <w:t xml:space="preserve"> аполовина средстава за овај циљ финасираће се из буџета </w:t>
      </w:r>
      <w:r>
        <w:rPr>
          <w:rFonts w:eastAsia="Calibri" w:cs="Tahoma" w:ascii="Tahoma" w:hAnsi="Tahoma"/>
          <w:sz w:val="20"/>
          <w:szCs w:val="20"/>
          <w:lang w:val="en-GB" w:eastAsia="en-GB"/>
        </w:rPr>
        <w:t>Општине (</w:t>
      </w:r>
      <w:r>
        <w:rPr>
          <w:rFonts w:eastAsia="Calibri" w:cs="Tahoma" w:ascii="Tahoma" w:hAnsi="Tahoma"/>
          <w:sz w:val="20"/>
          <w:szCs w:val="20"/>
          <w:lang w:val="sr-BA" w:eastAsia="en-GB"/>
        </w:rPr>
        <w:t>53,6</w:t>
      </w:r>
      <w:r>
        <w:rPr>
          <w:rFonts w:eastAsia="Calibri" w:cs="Tahoma" w:ascii="Tahoma" w:hAnsi="Tahoma"/>
          <w:sz w:val="20"/>
          <w:szCs w:val="20"/>
          <w:lang w:val="en-GB" w:eastAsia="en-GB"/>
        </w:rPr>
        <w:t>%).</w:t>
      </w:r>
      <w:r>
        <w:rPr>
          <w:rFonts w:eastAsia="Calibri" w:cs="Tahoma" w:ascii="Tahoma" w:hAnsi="Tahoma"/>
          <w:sz w:val="20"/>
          <w:szCs w:val="20"/>
          <w:lang w:val="sr-BA" w:eastAsia="en-GB"/>
        </w:rPr>
        <w:t xml:space="preserve"> За посебан циљ 3 планирано је 325 хиљада динара из буџета Општине и ова средства се односе на информисање јавности/потенцијалних корисника о доступним услугама, пре свега, услуга Помоћ у кући и Лични пратилац детета. </w:t>
      </w:r>
      <w:r>
        <w:rPr>
          <w:rFonts w:eastAsia="Calibri" w:cs="Tahoma" w:ascii="Tahoma" w:hAnsi="Tahoma"/>
          <w:sz w:val="20"/>
          <w:szCs w:val="20"/>
          <w:lang w:val="en-GB" w:eastAsia="en-GB"/>
        </w:rPr>
        <w:t>Структура извора финансирања по посебним циљевима може се видети у наредној табели:</w:t>
      </w:r>
    </w:p>
    <w:tbl>
      <w:tblPr>
        <w:tblW w:w="8317" w:type="dxa"/>
        <w:jc w:val="center"/>
        <w:tblInd w:w="0" w:type="dxa"/>
        <w:tblLayout w:type="fixed"/>
        <w:tblCellMar>
          <w:top w:w="0" w:type="dxa"/>
          <w:start w:w="108" w:type="dxa"/>
          <w:bottom w:w="0" w:type="dxa"/>
          <w:end w:w="108" w:type="dxa"/>
        </w:tblCellMar>
        <w:tblLook w:firstRow="1" w:noVBand="1" w:lastRow="0" w:firstColumn="1" w:lastColumn="0" w:noHBand="0" w:val="04a0"/>
      </w:tblPr>
      <w:tblGrid>
        <w:gridCol w:w="2505"/>
        <w:gridCol w:w="1635"/>
        <w:gridCol w:w="1640"/>
        <w:gridCol w:w="1311"/>
        <w:gridCol w:w="1226"/>
      </w:tblGrid>
      <w:tr>
        <w:trPr>
          <w:trHeight w:val="669" w:hRule="atLeast"/>
        </w:trPr>
        <w:tc>
          <w:tcPr>
            <w:tcW w:w="2505" w:type="dxa"/>
            <w:tcBorders>
              <w:top w:val="single" w:sz="4" w:space="0" w:color="000000"/>
              <w:start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t>Посебни циљеви и мере</w:t>
            </w:r>
          </w:p>
        </w:tc>
        <w:tc>
          <w:tcPr>
            <w:tcW w:w="1635" w:type="dxa"/>
            <w:tcBorders>
              <w:top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t>Буџетска средства Општине</w:t>
            </w:r>
          </w:p>
        </w:tc>
        <w:tc>
          <w:tcPr>
            <w:tcW w:w="1640" w:type="dxa"/>
            <w:tcBorders>
              <w:top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jc w:val="center"/>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t>Екстерни извори</w:t>
            </w:r>
          </w:p>
        </w:tc>
        <w:tc>
          <w:tcPr>
            <w:tcW w:w="1311" w:type="dxa"/>
            <w:tcBorders>
              <w:top w:val="single" w:sz="4" w:space="0" w:color="000000"/>
              <w:bottom w:val="single" w:sz="4" w:space="0" w:color="000000"/>
              <w:end w:val="single" w:sz="4" w:space="0" w:color="000000"/>
            </w:tcBorders>
            <w:shd w:color="auto" w:fill="auto" w:val="clear"/>
            <w:vAlign w:val="center"/>
          </w:tcPr>
          <w:p>
            <w:pPr>
              <w:pStyle w:val="Normal"/>
              <w:widowControl w:val="false"/>
              <w:spacing w:lineRule="auto" w:line="240" w:before="0" w:after="0"/>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t>УКУПНО</w:t>
            </w:r>
          </w:p>
        </w:tc>
        <w:tc>
          <w:tcPr>
            <w:tcW w:w="1226" w:type="dxa"/>
            <w:tcBorders>
              <w:top w:val="single" w:sz="4" w:space="0" w:color="000000"/>
              <w:bottom w:val="single" w:sz="4" w:space="0" w:color="000000"/>
              <w:end w:val="single" w:sz="4" w:space="0" w:color="000000"/>
            </w:tcBorders>
          </w:tcPr>
          <w:p>
            <w:pPr>
              <w:pStyle w:val="Normal"/>
              <w:widowControl w:val="false"/>
              <w:spacing w:lineRule="auto" w:line="240" w:before="0" w:after="0"/>
              <w:jc w:val="center"/>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t>% циљева у укупном износу</w:t>
            </w:r>
          </w:p>
        </w:tc>
      </w:tr>
      <w:tr>
        <w:trPr>
          <w:trHeight w:val="284" w:hRule="atLeast"/>
        </w:trPr>
        <w:tc>
          <w:tcPr>
            <w:tcW w:w="2505" w:type="dxa"/>
            <w:tcBorders>
              <w:start w:val="single" w:sz="4" w:space="0" w:color="000000"/>
              <w:bottom w:val="single" w:sz="4" w:space="0" w:color="000000"/>
              <w:end w:val="single" w:sz="4" w:space="0" w:color="000000"/>
            </w:tcBorders>
            <w:shd w:color="000000" w:fill="5B9BD5" w:val="clear"/>
            <w:vAlign w:val="center"/>
          </w:tcPr>
          <w:p>
            <w:pPr>
              <w:pStyle w:val="Normal"/>
              <w:widowControl w:val="false"/>
              <w:spacing w:lineRule="auto" w:line="240" w:before="0" w:after="0"/>
              <w:rPr>
                <w:rFonts w:ascii="Tahoma" w:hAnsi="Tahoma" w:eastAsia="Times New Roman" w:cs="Tahoma"/>
                <w:b/>
                <w:b/>
                <w:bCs/>
                <w:color w:val="FFFFFF"/>
                <w:kern w:val="0"/>
                <w:sz w:val="18"/>
                <w:szCs w:val="18"/>
                <w:lang w:val="sr-BA" w:eastAsia="en-GB"/>
                <w14:ligatures w14:val="none"/>
              </w:rPr>
            </w:pPr>
            <w:r>
              <w:rPr>
                <w:rFonts w:eastAsia="Times New Roman" w:cs="Tahoma" w:ascii="Tahoma" w:hAnsi="Tahoma"/>
                <w:b/>
                <w:bCs/>
                <w:color w:val="FFFFFF"/>
                <w:kern w:val="0"/>
                <w:sz w:val="18"/>
                <w:szCs w:val="18"/>
                <w:lang w:val="sr-BA" w:eastAsia="en-GB"/>
                <w14:ligatures w14:val="none"/>
              </w:rPr>
              <w:t>Посебни циљ 1.</w:t>
            </w:r>
          </w:p>
        </w:tc>
        <w:tc>
          <w:tcPr>
            <w:tcW w:w="1635" w:type="dxa"/>
            <w:tcBorders>
              <w:top w:val="single" w:sz="4" w:space="0" w:color="000000"/>
              <w:start w:val="single" w:sz="4" w:space="0" w:color="000000"/>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1.400</w:t>
            </w:r>
          </w:p>
        </w:tc>
        <w:tc>
          <w:tcPr>
            <w:tcW w:w="1640" w:type="dxa"/>
            <w:tcBorders>
              <w:top w:val="single" w:sz="4" w:space="0" w:color="000000"/>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1.210</w:t>
            </w:r>
          </w:p>
        </w:tc>
        <w:tc>
          <w:tcPr>
            <w:tcW w:w="1311" w:type="dxa"/>
            <w:tcBorders>
              <w:top w:val="single" w:sz="4" w:space="0" w:color="000000"/>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2.610</w:t>
            </w:r>
          </w:p>
        </w:tc>
        <w:tc>
          <w:tcPr>
            <w:tcW w:w="1226" w:type="dxa"/>
            <w:tcBorders>
              <w:top w:val="single" w:sz="4" w:space="0" w:color="000000"/>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themeColor="background1"/>
                <w:kern w:val="0"/>
                <w:sz w:val="18"/>
                <w:szCs w:val="18"/>
                <w:lang w:val="sr-BA" w:eastAsia="en-GB"/>
                <w14:ligatures w14:val="none"/>
              </w:rPr>
            </w:pPr>
            <w:r>
              <w:rPr>
                <w:rFonts w:cs="Tahoma" w:ascii="Tahoma" w:hAnsi="Tahoma"/>
                <w:b/>
                <w:color w:val="FFFFFF" w:themeColor="background1"/>
                <w:sz w:val="18"/>
                <w:szCs w:val="18"/>
              </w:rPr>
              <w:t>5,2%</w:t>
            </w:r>
          </w:p>
        </w:tc>
      </w:tr>
      <w:tr>
        <w:trPr>
          <w:trHeight w:val="284" w:hRule="atLeast"/>
        </w:trPr>
        <w:tc>
          <w:tcPr>
            <w:tcW w:w="2505" w:type="dxa"/>
            <w:tcBorders>
              <w:start w:val="single" w:sz="4" w:space="0" w:color="000000"/>
              <w:bottom w:val="single" w:sz="4" w:space="0" w:color="000000"/>
              <w:end w:val="single" w:sz="4" w:space="0" w:color="000000"/>
            </w:tcBorders>
            <w:shd w:color="000000" w:fill="5B9BD5" w:val="clear"/>
            <w:vAlign w:val="center"/>
          </w:tcPr>
          <w:p>
            <w:pPr>
              <w:pStyle w:val="Normal"/>
              <w:widowControl w:val="false"/>
              <w:spacing w:lineRule="auto" w:line="240" w:before="0" w:after="0"/>
              <w:rPr>
                <w:rFonts w:ascii="Tahoma" w:hAnsi="Tahoma" w:eastAsia="Times New Roman" w:cs="Tahoma"/>
                <w:b/>
                <w:b/>
                <w:bCs/>
                <w:color w:val="FFFFFF"/>
                <w:kern w:val="0"/>
                <w:sz w:val="18"/>
                <w:szCs w:val="18"/>
                <w:lang w:val="sr-BA" w:eastAsia="en-GB"/>
                <w14:ligatures w14:val="none"/>
              </w:rPr>
            </w:pPr>
            <w:r>
              <w:rPr>
                <w:rFonts w:eastAsia="Times New Roman" w:cs="Tahoma" w:ascii="Tahoma" w:hAnsi="Tahoma"/>
                <w:b/>
                <w:bCs/>
                <w:color w:val="FFFFFF"/>
                <w:kern w:val="0"/>
                <w:sz w:val="18"/>
                <w:szCs w:val="18"/>
                <w:lang w:val="sr-BA" w:eastAsia="en-GB"/>
                <w14:ligatures w14:val="none"/>
              </w:rPr>
              <w:t>Посебни циљ 2.</w:t>
            </w:r>
          </w:p>
        </w:tc>
        <w:tc>
          <w:tcPr>
            <w:tcW w:w="1635" w:type="dxa"/>
            <w:tcBorders>
              <w:start w:val="single" w:sz="4" w:space="0" w:color="000000"/>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42.450</w:t>
            </w:r>
          </w:p>
        </w:tc>
        <w:tc>
          <w:tcPr>
            <w:tcW w:w="1640" w:type="dxa"/>
            <w:tcBorders>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4.700</w:t>
            </w:r>
          </w:p>
        </w:tc>
        <w:tc>
          <w:tcPr>
            <w:tcW w:w="1311" w:type="dxa"/>
            <w:tcBorders>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47.150</w:t>
            </w:r>
          </w:p>
        </w:tc>
        <w:tc>
          <w:tcPr>
            <w:tcW w:w="1226" w:type="dxa"/>
            <w:tcBorders>
              <w:top w:val="single" w:sz="4" w:space="0" w:color="000000"/>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themeColor="background1"/>
                <w:kern w:val="0"/>
                <w:sz w:val="18"/>
                <w:szCs w:val="18"/>
                <w:lang w:val="sr-BA" w:eastAsia="en-GB"/>
                <w14:ligatures w14:val="none"/>
              </w:rPr>
            </w:pPr>
            <w:r>
              <w:rPr>
                <w:rFonts w:cs="Tahoma" w:ascii="Tahoma" w:hAnsi="Tahoma"/>
                <w:b/>
                <w:color w:val="FFFFFF" w:themeColor="background1"/>
                <w:sz w:val="18"/>
                <w:szCs w:val="18"/>
              </w:rPr>
              <w:t>94,1%</w:t>
            </w:r>
          </w:p>
        </w:tc>
      </w:tr>
      <w:tr>
        <w:trPr>
          <w:trHeight w:val="284" w:hRule="atLeast"/>
        </w:trPr>
        <w:tc>
          <w:tcPr>
            <w:tcW w:w="2505" w:type="dxa"/>
            <w:tcBorders>
              <w:start w:val="single" w:sz="4" w:space="0" w:color="000000"/>
              <w:bottom w:val="single" w:sz="4" w:space="0" w:color="000000"/>
              <w:end w:val="single" w:sz="4" w:space="0" w:color="000000"/>
            </w:tcBorders>
            <w:shd w:color="000000" w:fill="5B9BD5" w:val="clear"/>
            <w:vAlign w:val="center"/>
          </w:tcPr>
          <w:p>
            <w:pPr>
              <w:pStyle w:val="Normal"/>
              <w:widowControl w:val="false"/>
              <w:spacing w:lineRule="auto" w:line="240" w:before="0" w:after="0"/>
              <w:rPr>
                <w:rFonts w:ascii="Tahoma" w:hAnsi="Tahoma" w:eastAsia="Times New Roman" w:cs="Tahoma"/>
                <w:b/>
                <w:b/>
                <w:bCs/>
                <w:color w:val="FFFFFF"/>
                <w:kern w:val="0"/>
                <w:sz w:val="18"/>
                <w:szCs w:val="18"/>
                <w:lang w:val="sr-BA" w:eastAsia="en-GB"/>
                <w14:ligatures w14:val="none"/>
              </w:rPr>
            </w:pPr>
            <w:r>
              <w:rPr>
                <w:rFonts w:eastAsia="Times New Roman" w:cs="Tahoma" w:ascii="Tahoma" w:hAnsi="Tahoma"/>
                <w:b/>
                <w:bCs/>
                <w:color w:val="FFFFFF"/>
                <w:kern w:val="0"/>
                <w:sz w:val="18"/>
                <w:szCs w:val="18"/>
                <w:lang w:val="sr-BA" w:eastAsia="en-GB"/>
                <w14:ligatures w14:val="none"/>
              </w:rPr>
              <w:t>Посебни циљ 3.</w:t>
            </w:r>
          </w:p>
        </w:tc>
        <w:tc>
          <w:tcPr>
            <w:tcW w:w="1635" w:type="dxa"/>
            <w:tcBorders>
              <w:start w:val="single" w:sz="4" w:space="0" w:color="000000"/>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325</w:t>
            </w:r>
          </w:p>
        </w:tc>
        <w:tc>
          <w:tcPr>
            <w:tcW w:w="1640" w:type="dxa"/>
            <w:tcBorders>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0</w:t>
            </w:r>
          </w:p>
        </w:tc>
        <w:tc>
          <w:tcPr>
            <w:tcW w:w="1311" w:type="dxa"/>
            <w:tcBorders>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kern w:val="0"/>
                <w:sz w:val="18"/>
                <w:szCs w:val="18"/>
                <w:lang w:val="sr-BA" w:eastAsia="en-GB"/>
                <w14:ligatures w14:val="none"/>
              </w:rPr>
            </w:pPr>
            <w:r>
              <w:rPr>
                <w:rFonts w:cs="Tahoma" w:ascii="Tahoma" w:hAnsi="Tahoma"/>
                <w:b/>
                <w:bCs/>
                <w:color w:val="FFFFFF"/>
                <w:sz w:val="18"/>
                <w:szCs w:val="18"/>
              </w:rPr>
              <w:t>325</w:t>
            </w:r>
          </w:p>
        </w:tc>
        <w:tc>
          <w:tcPr>
            <w:tcW w:w="1226" w:type="dxa"/>
            <w:tcBorders>
              <w:top w:val="single" w:sz="4" w:space="0" w:color="000000"/>
              <w:bottom w:val="single" w:sz="4" w:space="0" w:color="000000"/>
              <w:end w:val="single" w:sz="4" w:space="0" w:color="000000"/>
            </w:tcBorders>
            <w:shd w:color="000000" w:fill="5B9BD5" w:val="clear"/>
            <w:vAlign w:val="center"/>
          </w:tcPr>
          <w:p>
            <w:pPr>
              <w:pStyle w:val="Normal"/>
              <w:widowControl w:val="false"/>
              <w:spacing w:lineRule="auto" w:line="240" w:before="0" w:after="0"/>
              <w:jc w:val="end"/>
              <w:rPr>
                <w:rFonts w:ascii="Tahoma" w:hAnsi="Tahoma" w:eastAsia="Times New Roman" w:cs="Tahoma"/>
                <w:b/>
                <w:b/>
                <w:bCs/>
                <w:color w:val="FFFFFF" w:themeColor="background1"/>
                <w:kern w:val="0"/>
                <w:sz w:val="18"/>
                <w:szCs w:val="18"/>
                <w:lang w:val="sr-BA" w:eastAsia="en-GB"/>
                <w14:ligatures w14:val="none"/>
              </w:rPr>
            </w:pPr>
            <w:r>
              <w:rPr>
                <w:rFonts w:cs="Tahoma" w:ascii="Tahoma" w:hAnsi="Tahoma"/>
                <w:b/>
                <w:color w:val="FFFFFF" w:themeColor="background1"/>
                <w:sz w:val="18"/>
                <w:szCs w:val="18"/>
              </w:rPr>
              <w:t>0,6%</w:t>
            </w:r>
          </w:p>
        </w:tc>
      </w:tr>
      <w:tr>
        <w:trPr>
          <w:trHeight w:val="222" w:hRule="atLeast"/>
        </w:trPr>
        <w:tc>
          <w:tcPr>
            <w:tcW w:w="2505" w:type="dxa"/>
            <w:tcBorders>
              <w:start w:val="single" w:sz="4" w:space="0" w:color="000000"/>
              <w:bottom w:val="single" w:sz="4" w:space="0" w:color="000000"/>
              <w:end w:val="single" w:sz="4" w:space="0" w:color="000000"/>
            </w:tcBorders>
            <w:shd w:color="auto" w:fill="D9D9D9" w:val="clear"/>
            <w:vAlign w:val="bottom"/>
          </w:tcPr>
          <w:p>
            <w:pPr>
              <w:pStyle w:val="Normal"/>
              <w:widowControl w:val="false"/>
              <w:spacing w:lineRule="auto" w:line="240" w:before="0" w:after="0"/>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t>УКУПНО</w:t>
            </w:r>
          </w:p>
        </w:tc>
        <w:tc>
          <w:tcPr>
            <w:tcW w:w="1635" w:type="dxa"/>
            <w:tcBorders>
              <w:start w:val="single" w:sz="4" w:space="0" w:color="000000"/>
              <w:bottom w:val="single" w:sz="4" w:space="0" w:color="000000"/>
              <w:end w:val="single" w:sz="4" w:space="0" w:color="000000"/>
            </w:tcBorders>
            <w:shd w:color="000000" w:fill="F2F2F2" w:val="clear"/>
            <w:vAlign w:val="center"/>
          </w:tcPr>
          <w:p>
            <w:pPr>
              <w:pStyle w:val="Normal"/>
              <w:widowControl w:val="false"/>
              <w:spacing w:lineRule="auto" w:line="240" w:before="0" w:after="0"/>
              <w:jc w:val="end"/>
              <w:rPr>
                <w:rFonts w:ascii="Tahoma" w:hAnsi="Tahoma" w:eastAsia="Times New Roman" w:cs="Tahoma"/>
                <w:b/>
                <w:b/>
                <w:bCs/>
                <w:color w:val="000000"/>
                <w:kern w:val="0"/>
                <w:sz w:val="18"/>
                <w:szCs w:val="18"/>
                <w:lang w:val="sr-BA" w:eastAsia="en-GB"/>
                <w14:ligatures w14:val="none"/>
              </w:rPr>
            </w:pPr>
            <w:r>
              <w:rPr>
                <w:rFonts w:cs="Tahoma" w:ascii="Tahoma" w:hAnsi="Tahoma"/>
                <w:b/>
                <w:bCs/>
                <w:color w:val="000000"/>
                <w:sz w:val="18"/>
                <w:szCs w:val="18"/>
              </w:rPr>
              <w:t>44.175</w:t>
            </w:r>
          </w:p>
        </w:tc>
        <w:tc>
          <w:tcPr>
            <w:tcW w:w="1640" w:type="dxa"/>
            <w:tcBorders>
              <w:bottom w:val="single" w:sz="4" w:space="0" w:color="000000"/>
              <w:end w:val="single" w:sz="4" w:space="0" w:color="000000"/>
            </w:tcBorders>
            <w:shd w:color="000000" w:fill="F2F2F2" w:val="clear"/>
            <w:vAlign w:val="center"/>
          </w:tcPr>
          <w:p>
            <w:pPr>
              <w:pStyle w:val="Normal"/>
              <w:widowControl w:val="false"/>
              <w:spacing w:lineRule="auto" w:line="240" w:before="0" w:after="0"/>
              <w:jc w:val="end"/>
              <w:rPr>
                <w:rFonts w:ascii="Tahoma" w:hAnsi="Tahoma" w:eastAsia="Times New Roman" w:cs="Tahoma"/>
                <w:b/>
                <w:b/>
                <w:bCs/>
                <w:color w:val="000000"/>
                <w:kern w:val="0"/>
                <w:sz w:val="18"/>
                <w:szCs w:val="18"/>
                <w:lang w:val="sr-BA" w:eastAsia="en-GB"/>
                <w14:ligatures w14:val="none"/>
              </w:rPr>
            </w:pPr>
            <w:r>
              <w:rPr>
                <w:rFonts w:cs="Tahoma" w:ascii="Tahoma" w:hAnsi="Tahoma"/>
                <w:b/>
                <w:bCs/>
                <w:color w:val="000000"/>
                <w:sz w:val="18"/>
                <w:szCs w:val="18"/>
              </w:rPr>
              <w:t>5.910</w:t>
            </w:r>
          </w:p>
        </w:tc>
        <w:tc>
          <w:tcPr>
            <w:tcW w:w="1311" w:type="dxa"/>
            <w:tcBorders>
              <w:bottom w:val="single" w:sz="4" w:space="0" w:color="000000"/>
              <w:end w:val="single" w:sz="4" w:space="0" w:color="000000"/>
            </w:tcBorders>
            <w:shd w:color="000000" w:fill="F2F2F2" w:val="clear"/>
            <w:vAlign w:val="center"/>
          </w:tcPr>
          <w:p>
            <w:pPr>
              <w:pStyle w:val="Normal"/>
              <w:widowControl w:val="false"/>
              <w:spacing w:lineRule="auto" w:line="240" w:before="0" w:after="0"/>
              <w:jc w:val="end"/>
              <w:rPr>
                <w:rFonts w:ascii="Tahoma" w:hAnsi="Tahoma" w:eastAsia="Times New Roman" w:cs="Tahoma"/>
                <w:b/>
                <w:b/>
                <w:bCs/>
                <w:color w:val="000000"/>
                <w:kern w:val="0"/>
                <w:sz w:val="18"/>
                <w:szCs w:val="18"/>
                <w:lang w:val="sr-BA" w:eastAsia="en-GB"/>
                <w14:ligatures w14:val="none"/>
              </w:rPr>
            </w:pPr>
            <w:r>
              <w:rPr>
                <w:rFonts w:cs="Tahoma" w:ascii="Tahoma" w:hAnsi="Tahoma"/>
                <w:b/>
                <w:bCs/>
                <w:color w:val="000000"/>
                <w:sz w:val="18"/>
                <w:szCs w:val="18"/>
              </w:rPr>
              <w:t>50.085</w:t>
            </w:r>
          </w:p>
        </w:tc>
        <w:tc>
          <w:tcPr>
            <w:tcW w:w="1226" w:type="dxa"/>
            <w:tcBorders>
              <w:bottom w:val="single" w:sz="4" w:space="0" w:color="000000"/>
              <w:end w:val="single" w:sz="4" w:space="0" w:color="000000"/>
            </w:tcBorders>
            <w:shd w:color="auto" w:fill="D9D9D9" w:val="clear"/>
            <w:vAlign w:val="center"/>
          </w:tcPr>
          <w:p>
            <w:pPr>
              <w:pStyle w:val="Normal"/>
              <w:widowControl w:val="false"/>
              <w:spacing w:lineRule="auto" w:line="240" w:before="0" w:after="0"/>
              <w:jc w:val="end"/>
              <w:rPr>
                <w:rFonts w:ascii="Tahoma" w:hAnsi="Tahoma" w:eastAsia="Times New Roman" w:cs="Tahoma"/>
                <w:b/>
                <w:b/>
                <w:bCs/>
                <w:color w:val="000000"/>
                <w:kern w:val="0"/>
                <w:sz w:val="18"/>
                <w:szCs w:val="18"/>
                <w:lang w:val="sr-BA" w:eastAsia="en-GB"/>
                <w14:ligatures w14:val="none"/>
              </w:rPr>
            </w:pPr>
            <w:r>
              <w:rPr>
                <w:rFonts w:eastAsia="Times New Roman" w:cs="Tahoma" w:ascii="Tahoma" w:hAnsi="Tahoma"/>
                <w:b/>
                <w:bCs/>
                <w:color w:val="000000"/>
                <w:kern w:val="0"/>
                <w:sz w:val="18"/>
                <w:szCs w:val="18"/>
                <w:lang w:val="sr-BA" w:eastAsia="en-GB"/>
                <w14:ligatures w14:val="none"/>
              </w:rPr>
            </w:r>
          </w:p>
        </w:tc>
      </w:tr>
    </w:tbl>
    <w:p>
      <w:pPr>
        <w:pStyle w:val="Normal"/>
        <w:spacing w:before="0" w:after="11"/>
        <w:ind w:start="-5" w:hanging="0"/>
        <w:jc w:val="center"/>
        <w:rPr>
          <w:rFonts w:ascii="Calibri" w:hAnsi="Calibri" w:eastAsia="Calibri" w:cs="Arial"/>
          <w:lang w:val="en-GB" w:eastAsia="en-GB"/>
        </w:rPr>
      </w:pPr>
      <w:r>
        <w:rPr>
          <w:rFonts w:eastAsia="Calibri" w:cs="Arial" w:ascii="Calibri" w:hAnsi="Calibri"/>
          <w:lang w:val="en-GB" w:eastAsia="en-GB"/>
        </w:rPr>
      </w:r>
    </w:p>
    <w:p>
      <w:pPr>
        <w:pStyle w:val="Normal"/>
        <w:spacing w:before="0" w:after="11"/>
        <w:ind w:start="-5" w:hanging="0"/>
        <w:jc w:val="center"/>
        <w:rPr>
          <w:rFonts w:ascii="Tahoma" w:hAnsi="Tahoma" w:eastAsia="Calibri" w:cs="Tahoma"/>
          <w:sz w:val="20"/>
          <w:lang w:val="sr-BA"/>
        </w:rPr>
      </w:pPr>
      <w:r>
        <w:rPr>
          <w:rFonts w:eastAsia="Calibri" w:cs="Tahoma" w:ascii="Tahoma" w:hAnsi="Tahoma"/>
          <w:sz w:val="20"/>
          <w:lang w:val="sr-BA"/>
        </w:rPr>
      </w:r>
    </w:p>
    <w:p>
      <w:pPr>
        <w:pStyle w:val="Normal"/>
        <w:spacing w:before="0" w:after="11"/>
        <w:ind w:start="-5" w:hanging="0"/>
        <w:jc w:val="center"/>
        <w:rPr>
          <w:rFonts w:ascii="Tahoma" w:hAnsi="Tahoma" w:eastAsia="Calibri" w:cs="Tahoma"/>
          <w:sz w:val="20"/>
          <w:lang w:val="sr-BA"/>
        </w:rPr>
      </w:pPr>
      <w:r>
        <w:rPr/>
        <w:drawing>
          <wp:inline distT="0" distB="0" distL="0" distR="0">
            <wp:extent cx="4572000" cy="2559050"/>
            <wp:effectExtent l="0" t="0" r="0" b="0"/>
            <wp:docPr id="12"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pPr>
        <w:pStyle w:val="Normal"/>
        <w:spacing w:before="0" w:after="11"/>
        <w:ind w:start="-5" w:hanging="0"/>
        <w:jc w:val="both"/>
        <w:rPr>
          <w:rFonts w:ascii="Tahoma" w:hAnsi="Tahoma" w:eastAsia="Calibri" w:cs="Tahoma"/>
          <w:sz w:val="20"/>
          <w:lang w:val="sr-BA"/>
        </w:rPr>
      </w:pPr>
      <w:r>
        <w:rPr>
          <w:rFonts w:eastAsia="Calibri" w:cs="Tahoma" w:ascii="Tahoma" w:hAnsi="Tahoma"/>
          <w:sz w:val="20"/>
          <w:lang w:val="sr-BA"/>
        </w:rPr>
      </w:r>
    </w:p>
    <w:p>
      <w:pPr>
        <w:pStyle w:val="Normal"/>
        <w:jc w:val="both"/>
        <w:rPr>
          <w:rFonts w:ascii="Tahoma" w:hAnsi="Tahoma" w:cs="Tahoma"/>
          <w:b/>
          <w:b/>
          <w:sz w:val="20"/>
          <w:szCs w:val="20"/>
          <w:lang w:val="sr-RS"/>
        </w:rPr>
      </w:pPr>
      <w:r>
        <w:rPr>
          <w:rFonts w:cs="Tahoma" w:ascii="Tahoma" w:hAnsi="Tahoma"/>
          <w:b/>
          <w:sz w:val="20"/>
          <w:szCs w:val="20"/>
          <w:lang w:val="sr-RS"/>
        </w:rPr>
      </w:r>
    </w:p>
    <w:p>
      <w:pPr>
        <w:pStyle w:val="Normal"/>
        <w:jc w:val="both"/>
        <w:rPr>
          <w:rFonts w:ascii="Tahoma" w:hAnsi="Tahoma" w:cs="Tahoma"/>
          <w:sz w:val="20"/>
          <w:szCs w:val="20"/>
          <w:lang w:val="sr-RS"/>
        </w:rPr>
      </w:pPr>
      <w:r>
        <w:rPr>
          <w:rFonts w:cs="Tahoma" w:ascii="Tahoma" w:hAnsi="Tahoma"/>
          <w:b/>
          <w:sz w:val="20"/>
          <w:szCs w:val="20"/>
          <w:lang w:val="sr-RS"/>
        </w:rPr>
        <w:t>Укупан износ који је предвиђен за имплементацију програма у првом трогодишњем периоду износи</w:t>
      </w:r>
      <w:r>
        <w:rPr>
          <w:rFonts w:cs="Tahoma" w:ascii="Tahoma" w:hAnsi="Tahoma"/>
          <w:b/>
          <w:sz w:val="20"/>
          <w:szCs w:val="20"/>
          <w:shd w:fill="auto" w:val="clear"/>
          <w:lang w:val="sr-RS"/>
          <w14:ligatures w14:val="standardContextual"/>
        </w:rPr>
        <w:t xml:space="preserve"> 50.710.000,00 </w:t>
      </w:r>
      <w:r>
        <w:rPr>
          <w:rFonts w:cs="Tahoma" w:ascii="Tahoma" w:hAnsi="Tahoma"/>
          <w:b/>
          <w:sz w:val="20"/>
          <w:szCs w:val="20"/>
          <w:lang w:val="sr-RS"/>
        </w:rPr>
        <w:t>динара.</w:t>
      </w:r>
      <w:r>
        <w:rPr>
          <w:rFonts w:cs="Tahoma" w:ascii="Tahoma" w:hAnsi="Tahoma"/>
          <w:sz w:val="20"/>
          <w:szCs w:val="20"/>
          <w:lang w:val="sr-RS"/>
        </w:rPr>
        <w:t xml:space="preserve"> </w:t>
      </w:r>
    </w:p>
    <w:p>
      <w:pPr>
        <w:pStyle w:val="Normal"/>
        <w:jc w:val="both"/>
        <w:rPr>
          <w:rFonts w:ascii="Tahoma" w:hAnsi="Tahoma" w:cs="Tahoma"/>
          <w:sz w:val="20"/>
          <w:lang w:val="sr-RS"/>
        </w:rPr>
      </w:pPr>
      <w:r>
        <w:rPr>
          <w:rFonts w:cs="Tahoma" w:ascii="Tahoma" w:hAnsi="Tahoma"/>
          <w:sz w:val="20"/>
          <w:szCs w:val="20"/>
          <w:lang w:val="sr-RS"/>
        </w:rPr>
        <w:t xml:space="preserve">У наредној табели приказан је збир процењених средстава по изворима, за реализацију мера у оквиру Акционог плана за имплементацију Програма за период 2025-2027. године: </w:t>
      </w:r>
    </w:p>
    <w:p>
      <w:pPr>
        <w:pStyle w:val="Normal"/>
        <w:spacing w:before="0" w:after="11"/>
        <w:ind w:start="-5" w:hanging="0"/>
        <w:rPr>
          <w:rFonts w:ascii="Tahoma" w:hAnsi="Tahoma" w:cs="Tahoma"/>
          <w:sz w:val="20"/>
          <w:lang w:val="sr-RS"/>
        </w:rPr>
      </w:pPr>
      <w:r>
        <w:rPr>
          <w:rFonts w:cs="Tahoma" w:ascii="Tahoma" w:hAnsi="Tahoma"/>
          <w:sz w:val="20"/>
          <w:lang w:val="sr-RS"/>
        </w:rPr>
      </w:r>
    </w:p>
    <w:tbl>
      <w:tblPr>
        <w:tblStyle w:val="TableGrid"/>
        <w:tblW w:w="10527"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2977"/>
        <w:gridCol w:w="1730"/>
        <w:gridCol w:w="1464"/>
        <w:gridCol w:w="1467"/>
        <w:gridCol w:w="1322"/>
        <w:gridCol w:w="1559"/>
        <w:gridCol w:w="7"/>
      </w:tblGrid>
      <w:tr>
        <w:trPr/>
        <w:tc>
          <w:tcPr>
            <w:tcW w:w="10526" w:type="dxa"/>
            <w:gridSpan w:val="7"/>
            <w:tcBorders/>
            <w:shd w:color="auto" w:fill="D9E2F3" w:themeFill="accent1" w:themeFillTint="33" w:val="clear"/>
          </w:tcPr>
          <w:p>
            <w:pPr>
              <w:pStyle w:val="Normal"/>
              <w:widowControl w:val="false"/>
              <w:suppressAutoHyphens w:val="true"/>
              <w:spacing w:lineRule="auto" w:line="240" w:before="0" w:after="0"/>
              <w:jc w:val="start"/>
              <w:rPr>
                <w:rFonts w:ascii="Tahoma" w:hAnsi="Tahoma" w:cs="Tahoma"/>
                <w:b/>
                <w:b/>
                <w:sz w:val="18"/>
                <w:szCs w:val="20"/>
                <w:lang w:val="sr-RS"/>
              </w:rPr>
            </w:pPr>
            <w:r>
              <w:rPr>
                <w:rFonts w:eastAsia="Calibri" w:cs="Tahoma" w:ascii="Tahoma" w:hAnsi="Tahoma"/>
                <w:b/>
                <w:kern w:val="2"/>
                <w:sz w:val="20"/>
                <w:szCs w:val="20"/>
                <w:lang w:val="sr-RS" w:eastAsia="en-US" w:bidi="ar-SA"/>
              </w:rPr>
              <w:t xml:space="preserve">ПОСЕБНИ ЦИЉ 1: </w:t>
            </w:r>
            <w:r>
              <w:rPr>
                <w:rFonts w:eastAsia="Times New Roman" w:cs="Tahoma" w:ascii="Tahoma" w:hAnsi="Tahoma"/>
                <w:b/>
                <w:bCs/>
                <w:kern w:val="2"/>
                <w:sz w:val="20"/>
                <w:szCs w:val="20"/>
                <w:lang w:val="sr-RS" w:eastAsia="sr-Latn-RS" w:bidi="ar-SA"/>
              </w:rPr>
              <w:t>Развој институционалних капацитета и сарадње за унапређење система социјалне заштите</w:t>
            </w:r>
          </w:p>
        </w:tc>
      </w:tr>
      <w:tr>
        <w:trPr/>
        <w:tc>
          <w:tcPr>
            <w:tcW w:w="2977" w:type="dxa"/>
            <w:tcBorders/>
            <w:shd w:color="auto" w:fill="D9E2F3" w:themeFill="accent1" w:themeFillTint="33" w:val="clea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Изнака и назив мере</w:t>
            </w:r>
          </w:p>
        </w:tc>
        <w:tc>
          <w:tcPr>
            <w:tcW w:w="173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Извори</w:t>
            </w:r>
          </w:p>
        </w:tc>
        <w:tc>
          <w:tcPr>
            <w:tcW w:w="1464"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w:t>
            </w:r>
          </w:p>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 000 РСД</w:t>
            </w:r>
          </w:p>
        </w:tc>
        <w:tc>
          <w:tcPr>
            <w:tcW w:w="1467"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en-US" w:eastAsia="en-US" w:bidi="ar-SA"/>
              </w:rPr>
              <w:t>2026</w:t>
            </w:r>
          </w:p>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 000 РСД</w:t>
            </w:r>
          </w:p>
        </w:tc>
        <w:tc>
          <w:tcPr>
            <w:tcW w:w="1322"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w:t>
            </w:r>
          </w:p>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sr-RS" w:eastAsia="en-US" w:bidi="ar-SA"/>
              </w:rPr>
              <w:t>У 000 РСД</w:t>
            </w:r>
          </w:p>
        </w:tc>
        <w:tc>
          <w:tcPr>
            <w:tcW w:w="1559" w:type="dxa"/>
            <w:tcBorders/>
            <w:shd w:color="auto" w:fill="D9E2F3" w:themeFill="accent1" w:themeFillTint="33" w:val="clea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Укупно</w:t>
            </w:r>
          </w:p>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 000 РСД</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2977" w:type="dxa"/>
            <w:tcBorders/>
            <w:shd w:color="auto" w:fill="auto" w:val="clear"/>
          </w:tcPr>
          <w:p>
            <w:pPr>
              <w:pStyle w:val="Normal"/>
              <w:widowControl w:val="false"/>
              <w:suppressAutoHyphens w:val="true"/>
              <w:spacing w:lineRule="auto" w:line="240" w:before="60" w:after="60"/>
              <w:jc w:val="start"/>
              <w:rPr>
                <w:rFonts w:ascii="Tahoma" w:hAnsi="Tahoma" w:cs="Tahoma"/>
                <w:bCs/>
                <w:sz w:val="20"/>
                <w:szCs w:val="20"/>
              </w:rPr>
            </w:pPr>
            <w:r>
              <w:rPr>
                <w:rFonts w:eastAsia="Calibri" w:cs="Tahoma" w:ascii="Tahoma" w:hAnsi="Tahoma"/>
                <w:kern w:val="2"/>
                <w:sz w:val="20"/>
                <w:szCs w:val="20"/>
                <w:lang w:val="en-US" w:eastAsia="en-US" w:bidi="ar-SA"/>
              </w:rPr>
              <w:t xml:space="preserve">МЕРА 1.1: </w:t>
            </w:r>
            <w:r>
              <w:rPr>
                <w:rFonts w:eastAsia="Times New Roman" w:cs="Tahoma" w:ascii="Tahoma" w:hAnsi="Tahoma"/>
                <w:kern w:val="2"/>
                <w:sz w:val="20"/>
                <w:szCs w:val="20"/>
                <w:lang w:val="en-US" w:eastAsia="sr-Latn-RS" w:bidi="ar-SA"/>
              </w:rPr>
              <w:t>Јачање кадровских и организационих капацитета општинске управе за спровођење политике унапређења социјалне заштите</w:t>
            </w:r>
            <w:r>
              <w:rPr>
                <w:rFonts w:eastAsia="Calibri" w:cs="Tahoma" w:ascii="Tahoma" w:hAnsi="Tahoma"/>
                <w:bCs/>
                <w:kern w:val="2"/>
                <w:sz w:val="20"/>
                <w:szCs w:val="20"/>
                <w:lang w:val="en-US" w:eastAsia="en-US" w:bidi="ar-SA"/>
              </w:rPr>
              <w:t xml:space="preserve"> општине</w:t>
            </w:r>
          </w:p>
        </w:tc>
        <w:tc>
          <w:tcPr>
            <w:tcW w:w="1730"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sr-RS" w:eastAsia="en-US" w:bidi="ar-SA"/>
              </w:rPr>
              <w:t>01-С</w:t>
            </w:r>
            <w:r>
              <w:rPr>
                <w:rFonts w:eastAsia="Calibri" w:cs="Tahoma" w:ascii="Tahoma" w:hAnsi="Tahoma"/>
                <w:spacing w:val="-8"/>
                <w:kern w:val="2"/>
                <w:sz w:val="18"/>
                <w:szCs w:val="20"/>
                <w:lang w:val="en-US" w:eastAsia="en-US" w:bidi="ar-SA"/>
              </w:rPr>
              <w:t>редства из буџета ЈЛС</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lang w:val="sr-RS"/>
              </w:rPr>
            </w:pPr>
            <w:r>
              <w:rPr>
                <w:rFonts w:eastAsia="Calibri" w:cs="Tahoma" w:ascii="Tahoma" w:hAnsi="Tahoma"/>
                <w:spacing w:val="-8"/>
                <w:kern w:val="2"/>
                <w:sz w:val="18"/>
                <w:szCs w:val="20"/>
                <w:lang w:val="sr-RS" w:eastAsia="en-US" w:bidi="ar-SA"/>
              </w:rPr>
              <w:t>200</w:t>
            </w:r>
          </w:p>
        </w:tc>
        <w:tc>
          <w:tcPr>
            <w:tcW w:w="1467"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lang w:val="sr-RS"/>
              </w:rPr>
            </w:pPr>
            <w:r>
              <w:rPr>
                <w:rFonts w:eastAsia="Calibri" w:cs="Tahoma" w:ascii="Tahoma" w:hAnsi="Tahoma"/>
                <w:spacing w:val="-8"/>
                <w:kern w:val="2"/>
                <w:sz w:val="18"/>
                <w:szCs w:val="20"/>
                <w:lang w:val="sr-RS" w:eastAsia="en-US" w:bidi="ar-SA"/>
              </w:rPr>
              <w:t>200</w:t>
            </w:r>
          </w:p>
        </w:tc>
        <w:tc>
          <w:tcPr>
            <w:tcW w:w="1322"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lang w:val="sr-RS"/>
              </w:rPr>
            </w:pPr>
            <w:r>
              <w:rPr>
                <w:rFonts w:eastAsia="Calibri" w:cs="Tahoma" w:ascii="Tahoma" w:hAnsi="Tahoma"/>
                <w:spacing w:val="-8"/>
                <w:kern w:val="2"/>
                <w:sz w:val="18"/>
                <w:szCs w:val="20"/>
                <w:lang w:val="sr-RS" w:eastAsia="en-US" w:bidi="ar-SA"/>
              </w:rPr>
              <w:t>200</w:t>
            </w:r>
          </w:p>
        </w:tc>
        <w:tc>
          <w:tcPr>
            <w:tcW w:w="1559" w:type="dxa"/>
            <w:tcBorders/>
          </w:tcPr>
          <w:p>
            <w:pPr>
              <w:pStyle w:val="Normal"/>
              <w:widowControl w:val="false"/>
              <w:suppressAutoHyphens w:val="true"/>
              <w:spacing w:lineRule="auto" w:line="240" w:before="60" w:after="60"/>
              <w:jc w:val="center"/>
              <w:rPr>
                <w:rFonts w:ascii="Tahoma" w:hAnsi="Tahoma" w:cs="Tahoma"/>
                <w:spacing w:val="-8"/>
                <w:sz w:val="18"/>
                <w:szCs w:val="20"/>
                <w:lang w:val="sr-RS"/>
              </w:rPr>
            </w:pPr>
            <w:r>
              <w:rPr>
                <w:rFonts w:cs="Tahoma" w:ascii="Tahoma" w:hAnsi="Tahoma"/>
                <w:spacing w:val="-8"/>
                <w:sz w:val="18"/>
                <w:szCs w:val="20"/>
                <w:lang w:val="sr-RS"/>
              </w:rPr>
            </w:r>
          </w:p>
          <w:p>
            <w:pPr>
              <w:pStyle w:val="Normal"/>
              <w:widowControl w:val="false"/>
              <w:suppressAutoHyphens w:val="true"/>
              <w:spacing w:lineRule="auto" w:line="240" w:before="60" w:after="60"/>
              <w:jc w:val="center"/>
              <w:rPr>
                <w:rFonts w:ascii="Tahoma" w:hAnsi="Tahoma" w:cs="Tahoma"/>
                <w:spacing w:val="-8"/>
                <w:sz w:val="18"/>
                <w:szCs w:val="20"/>
                <w:lang w:val="sr-RS"/>
              </w:rPr>
            </w:pPr>
            <w:r>
              <w:rPr>
                <w:rFonts w:cs="Tahoma" w:ascii="Tahoma" w:hAnsi="Tahoma"/>
                <w:spacing w:val="-8"/>
                <w:sz w:val="18"/>
                <w:szCs w:val="20"/>
                <w:lang w:val="sr-RS"/>
              </w:rPr>
            </w:r>
          </w:p>
          <w:p>
            <w:pPr>
              <w:pStyle w:val="Normal"/>
              <w:widowControl w:val="false"/>
              <w:suppressAutoHyphens w:val="true"/>
              <w:spacing w:lineRule="auto" w:line="240" w:before="60" w:after="60"/>
              <w:jc w:val="center"/>
              <w:rPr>
                <w:rFonts w:ascii="Tahoma" w:hAnsi="Tahoma" w:cs="Tahoma"/>
                <w:spacing w:val="-8"/>
                <w:sz w:val="18"/>
                <w:szCs w:val="20"/>
                <w:lang w:val="sr-RS"/>
              </w:rPr>
            </w:pPr>
            <w:r>
              <w:rPr>
                <w:rFonts w:eastAsia="Calibri" w:cs="Tahoma" w:ascii="Tahoma" w:hAnsi="Tahoma"/>
                <w:spacing w:val="-8"/>
                <w:kern w:val="2"/>
                <w:sz w:val="18"/>
                <w:szCs w:val="20"/>
                <w:lang w:val="sr-RS" w:eastAsia="en-US" w:bidi="ar-SA"/>
              </w:rPr>
              <w:t>600</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2977" w:type="dxa"/>
            <w:vMerge w:val="restart"/>
            <w:tcBorders/>
            <w:shd w:color="auto" w:fill="auto" w:val="clear"/>
          </w:tcPr>
          <w:p>
            <w:pPr>
              <w:pStyle w:val="Normal"/>
              <w:widowControl w:val="false"/>
              <w:suppressAutoHyphens w:val="true"/>
              <w:spacing w:lineRule="auto" w:line="240" w:before="0" w:after="120"/>
              <w:jc w:val="start"/>
              <w:rPr>
                <w:rFonts w:ascii="Tahoma" w:hAnsi="Tahoma" w:cs="Tahoma"/>
                <w:sz w:val="20"/>
                <w:szCs w:val="20"/>
              </w:rPr>
            </w:pPr>
            <w:r>
              <w:rPr>
                <w:rFonts w:eastAsia="Calibri" w:cs="Tahoma" w:ascii="Tahoma" w:hAnsi="Tahoma"/>
                <w:kern w:val="2"/>
                <w:sz w:val="20"/>
                <w:szCs w:val="20"/>
                <w:lang w:val="en-US" w:eastAsia="en-US" w:bidi="ar-SA"/>
              </w:rPr>
              <w:t xml:space="preserve">МЕРА 1.2. </w:t>
            </w:r>
            <w:r>
              <w:rPr>
                <w:rFonts w:eastAsia="Times New Roman" w:cs="Tahoma" w:ascii="Tahoma" w:hAnsi="Tahoma"/>
                <w:kern w:val="2"/>
                <w:sz w:val="20"/>
                <w:szCs w:val="20"/>
                <w:lang w:val="en-US" w:eastAsia="sr-Latn-RS" w:bidi="ar-SA"/>
              </w:rPr>
              <w:t>Унапређење услова за обављање делатности Центра за социјални рад у општини Беочин</w:t>
            </w:r>
          </w:p>
        </w:tc>
        <w:tc>
          <w:tcPr>
            <w:tcW w:w="1730"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467"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322"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350</w:t>
            </w:r>
          </w:p>
        </w:tc>
        <w:tc>
          <w:tcPr>
            <w:tcW w:w="1559" w:type="dxa"/>
            <w:vMerge w:val="restart"/>
            <w:tcBorders/>
          </w:tcPr>
          <w:p>
            <w:pPr>
              <w:pStyle w:val="Normal"/>
              <w:widowControl w:val="false"/>
              <w:suppressAutoHyphens w:val="true"/>
              <w:spacing w:lineRule="auto" w:line="240" w:before="60" w:after="60"/>
              <w:jc w:val="center"/>
              <w:rPr>
                <w:rFonts w:ascii="Tahoma" w:hAnsi="Tahoma" w:cs="Tahoma"/>
                <w:spacing w:val="-8"/>
                <w:sz w:val="18"/>
                <w:szCs w:val="20"/>
                <w:lang w:val="sr-RS"/>
              </w:rPr>
            </w:pPr>
            <w:r>
              <w:rPr>
                <w:rFonts w:cs="Tahoma" w:ascii="Tahoma" w:hAnsi="Tahoma"/>
                <w:spacing w:val="-8"/>
                <w:sz w:val="18"/>
                <w:szCs w:val="20"/>
                <w:lang w:val="sr-RS"/>
              </w:rPr>
            </w:r>
          </w:p>
          <w:p>
            <w:pPr>
              <w:pStyle w:val="Normal"/>
              <w:widowControl w:val="false"/>
              <w:suppressAutoHyphens w:val="true"/>
              <w:spacing w:lineRule="auto" w:line="240" w:before="60" w:after="60"/>
              <w:jc w:val="center"/>
              <w:rPr>
                <w:rFonts w:ascii="Tahoma" w:hAnsi="Tahoma" w:cs="Tahoma"/>
                <w:spacing w:val="-8"/>
                <w:sz w:val="18"/>
                <w:szCs w:val="20"/>
                <w:lang w:val="sr-RS"/>
              </w:rPr>
            </w:pPr>
            <w:r>
              <w:rPr>
                <w:rFonts w:cs="Tahoma" w:ascii="Tahoma" w:hAnsi="Tahoma"/>
                <w:spacing w:val="-8"/>
                <w:sz w:val="18"/>
                <w:szCs w:val="20"/>
                <w:lang w:val="sr-RS"/>
              </w:rPr>
            </w:r>
          </w:p>
          <w:p>
            <w:pPr>
              <w:pStyle w:val="Normal"/>
              <w:widowControl w:val="false"/>
              <w:suppressAutoHyphens w:val="true"/>
              <w:spacing w:lineRule="auto" w:line="240" w:before="60" w:after="60"/>
              <w:jc w:val="center"/>
              <w:rPr>
                <w:rFonts w:ascii="Tahoma" w:hAnsi="Tahoma" w:cs="Tahoma"/>
                <w:spacing w:val="-8"/>
                <w:sz w:val="18"/>
                <w:szCs w:val="20"/>
                <w:lang w:val="sr-RS"/>
              </w:rPr>
            </w:pPr>
            <w:r>
              <w:rPr>
                <w:rFonts w:eastAsia="Calibri" w:cs="Tahoma" w:ascii="Tahoma" w:hAnsi="Tahoma"/>
                <w:spacing w:val="-8"/>
                <w:kern w:val="2"/>
                <w:sz w:val="18"/>
                <w:szCs w:val="20"/>
                <w:lang w:val="sr-RS" w:eastAsia="en-US" w:bidi="ar-SA"/>
              </w:rPr>
              <w:t>760</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2977" w:type="dxa"/>
            <w:vMerge w:val="continue"/>
            <w:tcBorders/>
            <w:shd w:color="auto" w:fill="auto" w:val="clear"/>
          </w:tcPr>
          <w:p>
            <w:pPr>
              <w:pStyle w:val="Normal"/>
              <w:widowControl w:val="false"/>
              <w:suppressAutoHyphens w:val="true"/>
              <w:spacing w:lineRule="auto" w:line="240" w:before="60" w:after="60"/>
              <w:jc w:val="start"/>
              <w:rPr>
                <w:rFonts w:ascii="Tahoma" w:hAnsi="Tahoma" w:cs="Tahoma"/>
                <w:bCs/>
                <w:sz w:val="20"/>
                <w:szCs w:val="20"/>
              </w:rPr>
            </w:pPr>
            <w:r>
              <w:rPr>
                <w:rFonts w:cs="Tahoma" w:ascii="Tahoma" w:hAnsi="Tahoma"/>
                <w:bCs/>
                <w:sz w:val="20"/>
                <w:szCs w:val="20"/>
              </w:rPr>
            </w:r>
          </w:p>
        </w:tc>
        <w:tc>
          <w:tcPr>
            <w:tcW w:w="1730"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15-неутрошена средства донација из ранијих година</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410</w:t>
            </w:r>
          </w:p>
        </w:tc>
        <w:tc>
          <w:tcPr>
            <w:tcW w:w="1467"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322"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559" w:type="dxa"/>
            <w:vMerge w:val="continue"/>
            <w:tcBorders/>
          </w:tcPr>
          <w:p>
            <w:pPr>
              <w:pStyle w:val="Normal"/>
              <w:widowControl w:val="false"/>
              <w:suppressAutoHyphens w:val="true"/>
              <w:spacing w:lineRule="auto" w:line="240" w:before="60" w:after="60"/>
              <w:jc w:val="center"/>
              <w:rPr>
                <w:rFonts w:ascii="Tahoma" w:hAnsi="Tahoma" w:cs="Tahoma"/>
                <w:spacing w:val="-8"/>
                <w:sz w:val="18"/>
                <w:szCs w:val="20"/>
                <w:lang w:val="sr-RS"/>
              </w:rPr>
            </w:pPr>
            <w:r>
              <w:rPr>
                <w:rFonts w:cs="Tahoma" w:ascii="Tahoma" w:hAnsi="Tahoma"/>
                <w:spacing w:val="-8"/>
                <w:sz w:val="18"/>
                <w:szCs w:val="20"/>
                <w:lang w:val="sr-RS"/>
              </w:rPr>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2977" w:type="dxa"/>
            <w:vMerge w:val="restart"/>
            <w:tcBorders/>
            <w:shd w:color="auto" w:fill="auto" w:val="clear"/>
          </w:tcPr>
          <w:p>
            <w:pPr>
              <w:pStyle w:val="Normal"/>
              <w:widowControl w:val="false"/>
              <w:suppressAutoHyphens w:val="true"/>
              <w:spacing w:lineRule="auto" w:line="240" w:before="0" w:after="120"/>
              <w:jc w:val="start"/>
              <w:rPr>
                <w:rFonts w:ascii="Tahoma" w:hAnsi="Tahoma" w:cs="Tahoma"/>
                <w:sz w:val="20"/>
                <w:szCs w:val="20"/>
              </w:rPr>
            </w:pPr>
            <w:r>
              <w:rPr>
                <w:rFonts w:eastAsia="Calibri" w:cs="Tahoma" w:ascii="Tahoma" w:hAnsi="Tahoma"/>
                <w:kern w:val="2"/>
                <w:sz w:val="20"/>
                <w:szCs w:val="20"/>
                <w:lang w:val="en-US" w:eastAsia="en-US" w:bidi="ar-SA"/>
              </w:rPr>
              <w:t xml:space="preserve">МЕРА 1.3: </w:t>
            </w:r>
            <w:r>
              <w:rPr>
                <w:rFonts w:eastAsia="Times New Roman" w:cs="Tahoma" w:ascii="Tahoma" w:hAnsi="Tahoma"/>
                <w:kern w:val="2"/>
                <w:sz w:val="20"/>
                <w:szCs w:val="20"/>
                <w:lang w:val="en-US" w:eastAsia="sr-Latn-RS" w:bidi="ar-SA"/>
              </w:rPr>
              <w:t>Успостављање система за праћење и евалуацију ефеката локалне јавне политике у области социјалне заштите</w:t>
            </w:r>
          </w:p>
        </w:tc>
        <w:tc>
          <w:tcPr>
            <w:tcW w:w="1730"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kern w:val="2"/>
                <w:lang w:val="sr-RS" w:eastAsia="en-US" w:bidi="ar-SA"/>
              </w:rPr>
              <w:t>01-С</w:t>
            </w:r>
            <w:r>
              <w:rPr>
                <w:rFonts w:eastAsia="Calibri"/>
                <w:kern w:val="2"/>
                <w:lang w:val="en-US" w:eastAsia="en-US" w:bidi="ar-SA"/>
              </w:rPr>
              <w:t>редства из буџета ЈЛС</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50</w:t>
            </w:r>
          </w:p>
        </w:tc>
        <w:tc>
          <w:tcPr>
            <w:tcW w:w="1467"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w:t>
            </w:r>
          </w:p>
        </w:tc>
        <w:tc>
          <w:tcPr>
            <w:tcW w:w="1322"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200</w:t>
            </w:r>
          </w:p>
        </w:tc>
        <w:tc>
          <w:tcPr>
            <w:tcW w:w="1559" w:type="dxa"/>
            <w:vMerge w:val="restart"/>
            <w:tcBorders/>
          </w:tcPr>
          <w:p>
            <w:pPr>
              <w:pStyle w:val="Normal"/>
              <w:widowControl w:val="false"/>
              <w:suppressAutoHyphens w:val="true"/>
              <w:spacing w:lineRule="auto" w:line="240" w:before="60" w:after="60"/>
              <w:jc w:val="center"/>
              <w:rPr>
                <w:rFonts w:ascii="Tahoma" w:hAnsi="Tahoma" w:cs="Tahoma"/>
                <w:spacing w:val="-8"/>
                <w:sz w:val="18"/>
                <w:szCs w:val="20"/>
                <w:shd w:fill="auto" w:val="clear"/>
                <w:lang w:val="sr-RS"/>
                <w14:ligatures w14:val="standardContextual"/>
              </w:rPr>
            </w:pPr>
            <w:r>
              <w:rPr>
                <w:rFonts w:cs="Tahoma" w:ascii="Tahoma" w:hAnsi="Tahoma"/>
                <w:spacing w:val="-8"/>
                <w:sz w:val="18"/>
                <w:szCs w:val="20"/>
                <w:shd w:fill="auto" w:val="clear"/>
                <w:lang w:val="sr-RS"/>
                <w14:ligatures w14:val="standardContextual"/>
              </w:rPr>
            </w:r>
          </w:p>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sr-RS" w:eastAsia="en-US" w:bidi="ar-SA"/>
                <w14:ligatures w14:val="standardContextual"/>
              </w:rPr>
              <w:t>550</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2977" w:type="dxa"/>
            <w:vMerge w:val="continue"/>
            <w:tcBorders/>
            <w:shd w:color="auto" w:fill="auto" w:val="clear"/>
          </w:tcPr>
          <w:p>
            <w:pPr>
              <w:pStyle w:val="Normal"/>
              <w:widowControl w:val="false"/>
              <w:suppressAutoHyphens w:val="true"/>
              <w:spacing w:lineRule="auto" w:line="240" w:before="60" w:after="60"/>
              <w:jc w:val="start"/>
              <w:rPr>
                <w:rFonts w:ascii="Tahoma" w:hAnsi="Tahoma" w:cs="Tahoma"/>
                <w:bCs/>
                <w:sz w:val="20"/>
                <w:szCs w:val="20"/>
              </w:rPr>
            </w:pPr>
            <w:r>
              <w:rPr>
                <w:rFonts w:cs="Tahoma" w:ascii="Tahoma" w:hAnsi="Tahoma"/>
                <w:bCs/>
                <w:sz w:val="20"/>
                <w:szCs w:val="20"/>
              </w:rPr>
            </w:r>
          </w:p>
        </w:tc>
        <w:tc>
          <w:tcPr>
            <w:tcW w:w="1730"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07-средства другог нивоа власти</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w:t>
            </w:r>
          </w:p>
        </w:tc>
        <w:tc>
          <w:tcPr>
            <w:tcW w:w="1467"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w:t>
            </w:r>
          </w:p>
        </w:tc>
        <w:tc>
          <w:tcPr>
            <w:tcW w:w="1322"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300</w:t>
            </w:r>
          </w:p>
        </w:tc>
        <w:tc>
          <w:tcPr>
            <w:tcW w:w="1559" w:type="dxa"/>
            <w:vMerge w:val="continue"/>
            <w:tcBorders/>
            <w:shd w:color="auto" w:fill="FFFF00" w:val="clear"/>
          </w:tcPr>
          <w:p>
            <w:pPr>
              <w:pStyle w:val="Normal"/>
              <w:widowControl w:val="false"/>
              <w:suppressAutoHyphens w:val="true"/>
              <w:spacing w:lineRule="auto" w:line="240" w:before="60" w:after="60"/>
              <w:jc w:val="center"/>
              <w:rPr>
                <w:rFonts w:ascii="Tahoma" w:hAnsi="Tahoma" w:cs="Tahoma"/>
                <w:spacing w:val="-8"/>
                <w:sz w:val="18"/>
                <w:szCs w:val="20"/>
                <w:shd w:fill="auto" w:val="clear"/>
                <w14:ligatures w14:val="standardContextual"/>
              </w:rPr>
            </w:pPr>
            <w:r>
              <w:rPr>
                <w:rFonts w:cs="Tahoma" w:ascii="Tahoma" w:hAnsi="Tahoma"/>
                <w:spacing w:val="-8"/>
                <w:sz w:val="18"/>
                <w:szCs w:val="20"/>
                <w:shd w:fill="auto" w:val="clear"/>
                <w14:ligatures w14:val="standardContextual"/>
              </w:rPr>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2977" w:type="dxa"/>
            <w:vMerge w:val="restart"/>
            <w:tcBorders/>
            <w:shd w:color="auto" w:fill="auto" w:val="clear"/>
          </w:tcPr>
          <w:p>
            <w:pPr>
              <w:pStyle w:val="Normal"/>
              <w:widowControl w:val="false"/>
              <w:suppressAutoHyphens w:val="true"/>
              <w:spacing w:lineRule="auto" w:line="240" w:before="0" w:after="120"/>
              <w:jc w:val="start"/>
              <w:rPr>
                <w:rFonts w:ascii="Tahoma" w:hAnsi="Tahoma" w:cs="Tahoma"/>
                <w:sz w:val="20"/>
                <w:szCs w:val="20"/>
              </w:rPr>
            </w:pPr>
            <w:r>
              <w:rPr>
                <w:rFonts w:eastAsia="Calibri" w:cs="Tahoma" w:ascii="Tahoma" w:hAnsi="Tahoma"/>
                <w:kern w:val="2"/>
                <w:sz w:val="20"/>
                <w:szCs w:val="20"/>
                <w:lang w:val="en-US" w:eastAsia="en-US" w:bidi="ar-SA"/>
              </w:rPr>
              <w:t>МЕРА 1.4. Неговање сарадње и п</w:t>
            </w:r>
            <w:r>
              <w:rPr>
                <w:rFonts w:eastAsia="Times New Roman" w:cs="Tahoma" w:ascii="Tahoma" w:hAnsi="Tahoma"/>
                <w:kern w:val="2"/>
                <w:sz w:val="20"/>
                <w:szCs w:val="20"/>
                <w:lang w:val="en-US" w:eastAsia="sr-Latn-RS" w:bidi="ar-SA"/>
              </w:rPr>
              <w:t>артнерства са другим општинама и актерима у систему социјалне заштите ради размене добрих пракси</w:t>
            </w:r>
          </w:p>
        </w:tc>
        <w:tc>
          <w:tcPr>
            <w:tcW w:w="1730"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0</w:t>
            </w:r>
          </w:p>
        </w:tc>
        <w:tc>
          <w:tcPr>
            <w:tcW w:w="1467"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100</w:t>
            </w:r>
          </w:p>
        </w:tc>
        <w:tc>
          <w:tcPr>
            <w:tcW w:w="1322"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300</w:t>
            </w:r>
          </w:p>
        </w:tc>
        <w:tc>
          <w:tcPr>
            <w:tcW w:w="1559" w:type="dxa"/>
            <w:vMerge w:val="restart"/>
            <w:tcBorders/>
          </w:tcPr>
          <w:p>
            <w:pPr>
              <w:pStyle w:val="Normal"/>
              <w:widowControl w:val="false"/>
              <w:suppressAutoHyphens w:val="true"/>
              <w:spacing w:lineRule="auto" w:line="240" w:before="60" w:after="60"/>
              <w:jc w:val="center"/>
              <w:rPr>
                <w:rFonts w:ascii="Tahoma" w:hAnsi="Tahoma" w:cs="Tahoma"/>
                <w:spacing w:val="-8"/>
                <w:sz w:val="18"/>
                <w:szCs w:val="20"/>
                <w:shd w:fill="auto" w:val="clear"/>
                <w:lang w:val="sr-RS"/>
                <w14:ligatures w14:val="standardContextual"/>
              </w:rPr>
            </w:pPr>
            <w:r>
              <w:rPr>
                <w:rFonts w:cs="Tahoma" w:ascii="Tahoma" w:hAnsi="Tahoma"/>
                <w:spacing w:val="-8"/>
                <w:sz w:val="18"/>
                <w:szCs w:val="20"/>
                <w:shd w:fill="auto" w:val="clear"/>
                <w:lang w:val="sr-RS"/>
                <w14:ligatures w14:val="standardContextual"/>
              </w:rPr>
            </w:r>
          </w:p>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sr-RS" w:eastAsia="en-US" w:bidi="ar-SA"/>
                <w14:ligatures w14:val="standardContextual"/>
              </w:rPr>
              <w:t>900</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2977" w:type="dxa"/>
            <w:vMerge w:val="continue"/>
            <w:tcBorders/>
            <w:shd w:color="auto" w:fill="auto" w:val="clear"/>
          </w:tcPr>
          <w:p>
            <w:pPr>
              <w:pStyle w:val="Normal"/>
              <w:widowControl w:val="false"/>
              <w:suppressAutoHyphens w:val="true"/>
              <w:spacing w:lineRule="auto" w:line="240" w:before="60" w:after="60"/>
              <w:jc w:val="start"/>
              <w:rPr>
                <w:rFonts w:ascii="Tahoma" w:hAnsi="Tahoma" w:cs="Tahoma"/>
                <w:bCs/>
                <w:sz w:val="18"/>
                <w:szCs w:val="20"/>
              </w:rPr>
            </w:pPr>
            <w:r>
              <w:rPr>
                <w:rFonts w:cs="Tahoma" w:ascii="Tahoma" w:hAnsi="Tahoma"/>
                <w:bCs/>
                <w:sz w:val="18"/>
                <w:szCs w:val="20"/>
              </w:rPr>
            </w:r>
          </w:p>
        </w:tc>
        <w:tc>
          <w:tcPr>
            <w:tcW w:w="1730"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07-средства другог нивоа власти</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300</w:t>
            </w:r>
          </w:p>
        </w:tc>
        <w:tc>
          <w:tcPr>
            <w:tcW w:w="1467"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200</w:t>
            </w:r>
          </w:p>
        </w:tc>
        <w:tc>
          <w:tcPr>
            <w:tcW w:w="1322"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0</w:t>
            </w:r>
          </w:p>
        </w:tc>
        <w:tc>
          <w:tcPr>
            <w:tcW w:w="1559" w:type="dxa"/>
            <w:vMerge w:val="continue"/>
            <w:tcBorders/>
          </w:tcPr>
          <w:p>
            <w:pPr>
              <w:pStyle w:val="Normal"/>
              <w:widowControl w:val="false"/>
              <w:suppressAutoHyphens w:val="true"/>
              <w:spacing w:lineRule="auto" w:line="240" w:before="60" w:after="60"/>
              <w:jc w:val="center"/>
              <w:rPr>
                <w:rFonts w:ascii="Tahoma" w:hAnsi="Tahoma" w:cs="Tahoma"/>
                <w:spacing w:val="-8"/>
                <w:sz w:val="18"/>
                <w:szCs w:val="20"/>
                <w:shd w:fill="auto" w:val="clear"/>
                <w14:ligatures w14:val="standardContextual"/>
              </w:rPr>
            </w:pPr>
            <w:r>
              <w:rPr>
                <w:rFonts w:cs="Tahoma" w:ascii="Tahoma" w:hAnsi="Tahoma"/>
                <w:spacing w:val="-8"/>
                <w:sz w:val="18"/>
                <w:szCs w:val="20"/>
                <w:shd w:fill="auto" w:val="clear"/>
                <w14:ligatures w14:val="standardContextual"/>
              </w:rPr>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8960" w:type="dxa"/>
            <w:gridSpan w:val="5"/>
            <w:tcBorders/>
            <w:shd w:color="auto" w:fill="auto" w:val="clear"/>
          </w:tcPr>
          <w:p>
            <w:pPr>
              <w:pStyle w:val="Normal"/>
              <w:widowControl w:val="false"/>
              <w:suppressAutoHyphens w:val="true"/>
              <w:spacing w:lineRule="auto" w:line="240" w:before="60" w:after="60"/>
              <w:jc w:val="end"/>
              <w:rPr>
                <w:rFonts w:ascii="Tahoma" w:hAnsi="Tahoma" w:eastAsia="Calibri" w:cs="Tahoma"/>
                <w:b/>
                <w:b/>
                <w:spacing w:val="-8"/>
                <w:sz w:val="20"/>
                <w:szCs w:val="20"/>
                <w:lang w:val="sr-RS"/>
              </w:rPr>
            </w:pPr>
            <w:r>
              <w:rPr>
                <w:rFonts w:eastAsia="Calibri" w:cs="Tahoma" w:ascii="Tahoma" w:hAnsi="Tahoma"/>
                <w:b/>
                <w:spacing w:val="-8"/>
                <w:kern w:val="2"/>
                <w:sz w:val="20"/>
                <w:szCs w:val="20"/>
                <w:lang w:val="sr-RS" w:eastAsia="en-US" w:bidi="ar-SA"/>
              </w:rPr>
              <w:t>Укупно 2025-2027:</w:t>
            </w:r>
          </w:p>
        </w:tc>
        <w:tc>
          <w:tcPr>
            <w:tcW w:w="1559" w:type="dxa"/>
            <w:tcBorders/>
          </w:tcPr>
          <w:p>
            <w:pPr>
              <w:pStyle w:val="Normal"/>
              <w:widowControl w:val="false"/>
              <w:suppressAutoHyphens w:val="true"/>
              <w:spacing w:lineRule="auto" w:line="240" w:before="60" w:after="60"/>
              <w:jc w:val="center"/>
              <w:rPr>
                <w:rFonts w:eastAsia="Arial" w:eastAsiaTheme="minorHAnsi"/>
                <w:shd w:fill="auto" w:val="clear"/>
                <w14:ligatures w14:val="standardContextual"/>
              </w:rPr>
            </w:pPr>
            <w:r>
              <w:rPr>
                <w:rFonts w:eastAsia="Arial" w:cs="Tahoma" w:ascii="Tahoma" w:hAnsi="Tahoma" w:eastAsiaTheme="minorHAnsi"/>
                <w:b/>
                <w:spacing w:val="-8"/>
                <w:kern w:val="2"/>
                <w:sz w:val="20"/>
                <w:szCs w:val="20"/>
                <w:shd w:fill="auto" w:val="clear"/>
                <w:lang w:val="sr-RS" w:eastAsia="en-US" w:bidi="ar-SA"/>
                <w14:ligatures w14:val="standardContextual"/>
              </w:rPr>
              <w:t>2.810</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bl>
    <w:p>
      <w:pPr>
        <w:pStyle w:val="ListParagraph"/>
        <w:ind w:start="1080" w:hanging="0"/>
        <w:rPr>
          <w:rFonts w:ascii="Tahoma" w:hAnsi="Tahoma" w:cs="Tahoma"/>
          <w:sz w:val="20"/>
        </w:rPr>
      </w:pPr>
      <w:r>
        <w:rPr>
          <w:rFonts w:cs="Tahoma" w:ascii="Tahoma" w:hAnsi="Tahoma"/>
          <w:sz w:val="20"/>
        </w:rPr>
      </w:r>
    </w:p>
    <w:tbl>
      <w:tblPr>
        <w:tblStyle w:val="TableGrid"/>
        <w:tblW w:w="10385"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2835"/>
        <w:gridCol w:w="1731"/>
        <w:gridCol w:w="1463"/>
        <w:gridCol w:w="1466"/>
        <w:gridCol w:w="1323"/>
        <w:gridCol w:w="1559"/>
        <w:gridCol w:w="7"/>
      </w:tblGrid>
      <w:tr>
        <w:trPr/>
        <w:tc>
          <w:tcPr>
            <w:tcW w:w="10384" w:type="dxa"/>
            <w:gridSpan w:val="7"/>
            <w:tcBorders/>
            <w:shd w:color="auto" w:fill="D9E2F3" w:themeFill="accent1" w:themeFillTint="33" w:val="clear"/>
          </w:tcPr>
          <w:p>
            <w:pPr>
              <w:pStyle w:val="Normal"/>
              <w:widowControl w:val="false"/>
              <w:suppressAutoHyphens w:val="true"/>
              <w:spacing w:lineRule="auto" w:line="240" w:before="0" w:after="0"/>
              <w:jc w:val="start"/>
              <w:rPr>
                <w:rFonts w:ascii="Tahoma" w:hAnsi="Tahoma" w:cs="Tahoma"/>
                <w:sz w:val="20"/>
                <w:szCs w:val="20"/>
              </w:rPr>
            </w:pPr>
            <w:r>
              <w:rPr>
                <w:rFonts w:eastAsia="Calibri" w:cs="Tahoma" w:ascii="Tahoma" w:hAnsi="Tahoma"/>
                <w:b/>
                <w:kern w:val="2"/>
                <w:sz w:val="20"/>
                <w:szCs w:val="20"/>
                <w:lang w:val="en-US" w:eastAsia="en-US" w:bidi="ar-SA"/>
              </w:rPr>
              <w:t xml:space="preserve">ПОСЕБНИ ЦИЉ 2: </w:t>
            </w:r>
            <w:r>
              <w:rPr>
                <w:rFonts w:eastAsia="Times New Roman" w:cs="Tahoma" w:ascii="Tahoma" w:hAnsi="Tahoma"/>
                <w:b/>
                <w:bCs/>
                <w:kern w:val="2"/>
                <w:sz w:val="20"/>
                <w:szCs w:val="20"/>
                <w:lang w:val="en-US" w:eastAsia="sr-Latn-RS" w:bidi="ar-SA"/>
              </w:rPr>
              <w:t>Повећање доступности и обухвата услуга социјалне заштите за рањиве групе.</w:t>
            </w:r>
          </w:p>
          <w:p>
            <w:pPr>
              <w:pStyle w:val="Normal"/>
              <w:widowControl w:val="false"/>
              <w:suppressAutoHyphens w:val="true"/>
              <w:spacing w:lineRule="auto" w:line="240" w:before="0" w:after="0"/>
              <w:jc w:val="start"/>
              <w:rPr>
                <w:rFonts w:ascii="Tahoma" w:hAnsi="Tahoma" w:cs="Tahoma"/>
                <w:b/>
                <w:b/>
                <w:sz w:val="18"/>
                <w:szCs w:val="20"/>
                <w:lang w:val="sr-RS"/>
              </w:rPr>
            </w:pPr>
            <w:r>
              <w:rPr>
                <w:rFonts w:cs="Tahoma" w:ascii="Tahoma" w:hAnsi="Tahoma"/>
                <w:b/>
                <w:sz w:val="18"/>
                <w:szCs w:val="20"/>
                <w:lang w:val="sr-RS"/>
              </w:rPr>
            </w:r>
          </w:p>
        </w:tc>
      </w:tr>
      <w:tr>
        <w:trPr/>
        <w:tc>
          <w:tcPr>
            <w:tcW w:w="2835" w:type="dxa"/>
            <w:tcBorders/>
            <w:shd w:color="auto" w:fill="D9E2F3" w:themeFill="accent1" w:themeFillTint="33" w:val="clea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Изнака и назив мере</w:t>
            </w:r>
          </w:p>
        </w:tc>
        <w:tc>
          <w:tcPr>
            <w:tcW w:w="1731"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Извори</w:t>
            </w:r>
          </w:p>
        </w:tc>
        <w:tc>
          <w:tcPr>
            <w:tcW w:w="1463"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w:t>
            </w:r>
          </w:p>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 000 РСД</w:t>
            </w:r>
          </w:p>
        </w:tc>
        <w:tc>
          <w:tcPr>
            <w:tcW w:w="146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en-US" w:eastAsia="en-US" w:bidi="ar-SA"/>
              </w:rPr>
              <w:t>2026</w:t>
            </w:r>
          </w:p>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 000 РСД</w:t>
            </w:r>
          </w:p>
        </w:tc>
        <w:tc>
          <w:tcPr>
            <w:tcW w:w="1323"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w:t>
            </w:r>
          </w:p>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sr-RS" w:eastAsia="en-US" w:bidi="ar-SA"/>
              </w:rPr>
              <w:t>У 000 РСД</w:t>
            </w:r>
          </w:p>
        </w:tc>
        <w:tc>
          <w:tcPr>
            <w:tcW w:w="1559" w:type="dxa"/>
            <w:tcBorders/>
            <w:shd w:color="auto" w:fill="D9E2F3" w:themeFill="accent1" w:themeFillTint="33" w:val="clea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Укупно</w:t>
            </w:r>
          </w:p>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 000 РСД</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2835" w:type="dxa"/>
            <w:vMerge w:val="restart"/>
            <w:tcBorders/>
            <w:shd w:color="auto" w:fill="auto" w:val="clear"/>
          </w:tcPr>
          <w:p>
            <w:pPr>
              <w:pStyle w:val="Normal"/>
              <w:widowControl w:val="false"/>
              <w:suppressAutoHyphens w:val="true"/>
              <w:spacing w:lineRule="auto" w:line="240" w:before="0" w:after="0"/>
              <w:jc w:val="start"/>
              <w:rPr>
                <w:rFonts w:ascii="Tahoma" w:hAnsi="Tahoma" w:cs="Tahoma"/>
                <w:sz w:val="20"/>
                <w:szCs w:val="20"/>
              </w:rPr>
            </w:pPr>
            <w:r>
              <w:rPr>
                <w:rFonts w:eastAsia="Calibri" w:cs="Tahoma" w:ascii="Tahoma" w:hAnsi="Tahoma"/>
                <w:kern w:val="2"/>
                <w:sz w:val="20"/>
                <w:szCs w:val="20"/>
                <w:lang w:val="en-US" w:eastAsia="en-US" w:bidi="ar-SA"/>
              </w:rPr>
              <w:t xml:space="preserve">МЕРА </w:t>
            </w:r>
            <w:r>
              <w:rPr>
                <w:rFonts w:eastAsia="Calibri" w:cs="Tahoma" w:ascii="Tahoma" w:hAnsi="Tahoma"/>
                <w:kern w:val="2"/>
                <w:sz w:val="20"/>
                <w:szCs w:val="20"/>
                <w:lang w:val="sr-Latn-RS" w:eastAsia="en-US" w:bidi="ar-SA"/>
              </w:rPr>
              <w:t xml:space="preserve">2.1. </w:t>
            </w:r>
            <w:r>
              <w:rPr>
                <w:rFonts w:eastAsia="Calibri" w:cs="Tahoma" w:ascii="Tahoma" w:hAnsi="Tahoma"/>
                <w:kern w:val="2"/>
                <w:sz w:val="20"/>
                <w:szCs w:val="20"/>
                <w:lang w:val="en-US" w:eastAsia="en-US" w:bidi="ar-SA"/>
              </w:rPr>
              <w:t>Успостављање и пружање локалних услуга социјалне заштите – Лични пратилац и Помоћ у кући</w:t>
            </w:r>
          </w:p>
        </w:tc>
        <w:tc>
          <w:tcPr>
            <w:tcW w:w="1731"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1463"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10</w:t>
            </w:r>
            <w:r>
              <w:rPr>
                <w:rFonts w:eastAsia="Arial" w:cs="Tahoma" w:ascii="Tahoma" w:hAnsi="Tahoma" w:eastAsiaTheme="minorHAnsi"/>
                <w:spacing w:val="-8"/>
                <w:kern w:val="2"/>
                <w:sz w:val="18"/>
                <w:szCs w:val="20"/>
                <w:shd w:fill="auto" w:val="clear"/>
                <w:lang w:val="sr-RS" w:eastAsia="en-US" w:bidi="ar-SA"/>
                <w14:ligatures w14:val="standardContextual"/>
              </w:rPr>
              <w:t>.</w:t>
            </w:r>
            <w:r>
              <w:rPr>
                <w:rFonts w:eastAsia="Arial" w:cs="Tahoma" w:ascii="Tahoma" w:hAnsi="Tahoma" w:eastAsiaTheme="minorHAnsi"/>
                <w:spacing w:val="-8"/>
                <w:kern w:val="2"/>
                <w:sz w:val="18"/>
                <w:szCs w:val="20"/>
                <w:shd w:fill="auto" w:val="clear"/>
                <w:lang w:val="en-US" w:eastAsia="en-US" w:bidi="ar-SA"/>
                <w14:ligatures w14:val="standardContextual"/>
              </w:rPr>
              <w:t>500</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16</w:t>
            </w:r>
            <w:r>
              <w:rPr>
                <w:rFonts w:eastAsia="Arial" w:cs="Tahoma" w:ascii="Tahoma" w:hAnsi="Tahoma" w:eastAsiaTheme="minorHAnsi"/>
                <w:spacing w:val="-8"/>
                <w:kern w:val="2"/>
                <w:sz w:val="18"/>
                <w:szCs w:val="20"/>
                <w:shd w:fill="auto" w:val="clear"/>
                <w:lang w:val="sr-RS" w:eastAsia="en-US" w:bidi="ar-SA"/>
                <w14:ligatures w14:val="standardContextual"/>
              </w:rPr>
              <w:t>.</w:t>
            </w:r>
            <w:r>
              <w:rPr>
                <w:rFonts w:eastAsia="Arial" w:cs="Tahoma" w:ascii="Tahoma" w:hAnsi="Tahoma" w:eastAsiaTheme="minorHAnsi"/>
                <w:spacing w:val="-8"/>
                <w:kern w:val="2"/>
                <w:sz w:val="18"/>
                <w:szCs w:val="20"/>
                <w:shd w:fill="auto" w:val="clear"/>
                <w:lang w:val="en-US" w:eastAsia="en-US" w:bidi="ar-SA"/>
                <w14:ligatures w14:val="standardContextual"/>
              </w:rPr>
              <w:t>000</w:t>
            </w:r>
          </w:p>
        </w:tc>
        <w:tc>
          <w:tcPr>
            <w:tcW w:w="1323"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16</w:t>
            </w:r>
            <w:r>
              <w:rPr>
                <w:rFonts w:eastAsia="Arial" w:cs="Tahoma" w:ascii="Tahoma" w:hAnsi="Tahoma" w:eastAsiaTheme="minorHAnsi"/>
                <w:spacing w:val="-8"/>
                <w:kern w:val="2"/>
                <w:sz w:val="18"/>
                <w:szCs w:val="20"/>
                <w:shd w:fill="auto" w:val="clear"/>
                <w:lang w:val="sr-RS" w:eastAsia="en-US" w:bidi="ar-SA"/>
                <w14:ligatures w14:val="standardContextual"/>
              </w:rPr>
              <w:t>.</w:t>
            </w:r>
            <w:r>
              <w:rPr>
                <w:rFonts w:eastAsia="Arial" w:cs="Tahoma" w:ascii="Tahoma" w:hAnsi="Tahoma" w:eastAsiaTheme="minorHAnsi"/>
                <w:spacing w:val="-8"/>
                <w:kern w:val="2"/>
                <w:sz w:val="18"/>
                <w:szCs w:val="20"/>
                <w:shd w:fill="auto" w:val="clear"/>
                <w:lang w:val="en-US" w:eastAsia="en-US" w:bidi="ar-SA"/>
                <w14:ligatures w14:val="standardContextual"/>
              </w:rPr>
              <w:t>000</w:t>
            </w:r>
          </w:p>
        </w:tc>
        <w:tc>
          <w:tcPr>
            <w:tcW w:w="1559" w:type="dxa"/>
            <w:tcBorders/>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sr-RS" w:eastAsia="en-US" w:bidi="ar-SA"/>
                <w14:ligatures w14:val="standardContextual"/>
              </w:rPr>
              <w:t>42.500</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2835" w:type="dxa"/>
            <w:vMerge w:val="continue"/>
            <w:tcBorders/>
            <w:shd w:color="auto" w:fill="auto" w:val="clear"/>
          </w:tcPr>
          <w:p>
            <w:pPr>
              <w:pStyle w:val="Normal"/>
              <w:widowControl w:val="false"/>
              <w:suppressAutoHyphens w:val="true"/>
              <w:spacing w:lineRule="auto" w:line="240" w:before="60" w:after="60"/>
              <w:jc w:val="start"/>
              <w:rPr>
                <w:rFonts w:ascii="Tahoma" w:hAnsi="Tahoma" w:cs="Tahoma"/>
                <w:bCs/>
                <w:sz w:val="18"/>
                <w:szCs w:val="20"/>
              </w:rPr>
            </w:pPr>
            <w:r>
              <w:rPr>
                <w:rFonts w:cs="Tahoma" w:ascii="Tahoma" w:hAnsi="Tahoma"/>
                <w:bCs/>
                <w:sz w:val="18"/>
                <w:szCs w:val="20"/>
              </w:rPr>
            </w:r>
          </w:p>
        </w:tc>
        <w:tc>
          <w:tcPr>
            <w:tcW w:w="1731"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15-неутрошена средства донацоја из ранијих година</w:t>
            </w:r>
          </w:p>
        </w:tc>
        <w:tc>
          <w:tcPr>
            <w:tcW w:w="1463"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4</w:t>
            </w:r>
            <w:r>
              <w:rPr>
                <w:rFonts w:eastAsia="Arial" w:cs="Tahoma" w:ascii="Tahoma" w:hAnsi="Tahoma" w:eastAsiaTheme="minorHAnsi"/>
                <w:spacing w:val="-8"/>
                <w:kern w:val="2"/>
                <w:sz w:val="18"/>
                <w:szCs w:val="20"/>
                <w:shd w:fill="auto" w:val="clear"/>
                <w:lang w:val="sr-RS" w:eastAsia="en-US" w:bidi="ar-SA"/>
                <w14:ligatures w14:val="standardContextual"/>
              </w:rPr>
              <w:t>.</w:t>
            </w:r>
            <w:r>
              <w:rPr>
                <w:rFonts w:eastAsia="Arial" w:cs="Tahoma" w:ascii="Tahoma" w:hAnsi="Tahoma" w:eastAsiaTheme="minorHAnsi"/>
                <w:spacing w:val="-8"/>
                <w:kern w:val="2"/>
                <w:sz w:val="18"/>
                <w:szCs w:val="20"/>
                <w:shd w:fill="auto" w:val="clear"/>
                <w:lang w:val="en-US" w:eastAsia="en-US" w:bidi="ar-SA"/>
                <w14:ligatures w14:val="standardContextual"/>
              </w:rPr>
              <w:t>750</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0</w:t>
            </w:r>
          </w:p>
        </w:tc>
        <w:tc>
          <w:tcPr>
            <w:tcW w:w="1323"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0</w:t>
            </w:r>
          </w:p>
        </w:tc>
        <w:tc>
          <w:tcPr>
            <w:tcW w:w="1559" w:type="dxa"/>
            <w:tcBorders/>
          </w:tcPr>
          <w:p>
            <w:pPr>
              <w:pStyle w:val="Normal"/>
              <w:widowControl w:val="false"/>
              <w:suppressAutoHyphens w:val="true"/>
              <w:spacing w:lineRule="auto" w:line="240" w:before="60" w:after="60"/>
              <w:jc w:val="center"/>
              <w:rPr>
                <w:rFonts w:ascii="Tahoma" w:hAnsi="Tahoma" w:cs="Tahoma"/>
                <w:spacing w:val="-8"/>
                <w:sz w:val="18"/>
                <w:szCs w:val="20"/>
                <w:shd w:fill="auto" w:val="clear"/>
                <w14:ligatures w14:val="standardContextual"/>
              </w:rPr>
            </w:pPr>
            <w:r>
              <w:rPr>
                <w:rFonts w:cs="Tahoma" w:ascii="Tahoma" w:hAnsi="Tahoma"/>
                <w:spacing w:val="-8"/>
                <w:sz w:val="18"/>
                <w:szCs w:val="20"/>
                <w:shd w:fill="auto" w:val="clear"/>
                <w14:ligatures w14:val="standardContextual"/>
              </w:rPr>
            </w:r>
          </w:p>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4.750</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8818" w:type="dxa"/>
            <w:gridSpan w:val="5"/>
            <w:tcBorders/>
            <w:shd w:color="auto" w:fill="auto" w:val="clear"/>
          </w:tcPr>
          <w:p>
            <w:pPr>
              <w:pStyle w:val="Normal"/>
              <w:widowControl w:val="false"/>
              <w:suppressAutoHyphens w:val="true"/>
              <w:spacing w:lineRule="auto" w:line="240" w:before="60" w:after="60"/>
              <w:jc w:val="end"/>
              <w:rPr>
                <w:rFonts w:ascii="Tahoma" w:hAnsi="Tahoma" w:eastAsia="Calibri" w:cs="Tahoma"/>
                <w:b/>
                <w:b/>
                <w:spacing w:val="-8"/>
                <w:sz w:val="20"/>
                <w:szCs w:val="20"/>
                <w:lang w:val="sr-RS"/>
              </w:rPr>
            </w:pPr>
            <w:r>
              <w:rPr>
                <w:rFonts w:eastAsia="Calibri" w:cs="Tahoma" w:ascii="Tahoma" w:hAnsi="Tahoma"/>
                <w:b/>
                <w:spacing w:val="-8"/>
                <w:kern w:val="2"/>
                <w:sz w:val="20"/>
                <w:szCs w:val="20"/>
                <w:lang w:val="sr-RS" w:eastAsia="en-US" w:bidi="ar-SA"/>
              </w:rPr>
              <w:t>Укупно 2025-2027:</w:t>
            </w:r>
          </w:p>
        </w:tc>
        <w:tc>
          <w:tcPr>
            <w:tcW w:w="1559" w:type="dxa"/>
            <w:tcBorders/>
          </w:tcPr>
          <w:p>
            <w:pPr>
              <w:pStyle w:val="Normal"/>
              <w:widowControl w:val="false"/>
              <w:suppressAutoHyphens w:val="true"/>
              <w:spacing w:lineRule="auto" w:line="240" w:before="60" w:after="60"/>
              <w:jc w:val="center"/>
              <w:rPr>
                <w:rFonts w:ascii="Tahoma" w:hAnsi="Tahoma" w:cs="Tahoma"/>
                <w:b/>
                <w:b/>
                <w:spacing w:val="-8"/>
                <w:sz w:val="20"/>
                <w:szCs w:val="20"/>
                <w:lang w:val="sr-RS"/>
              </w:rPr>
            </w:pPr>
            <w:r>
              <w:rPr>
                <w:rFonts w:eastAsia="Calibri" w:cs="Tahoma" w:ascii="Tahoma" w:hAnsi="Tahoma"/>
                <w:b/>
                <w:spacing w:val="-8"/>
                <w:kern w:val="2"/>
                <w:sz w:val="20"/>
                <w:szCs w:val="20"/>
                <w:lang w:val="sr-RS" w:eastAsia="en-US" w:bidi="ar-SA"/>
              </w:rPr>
              <w:t>47.250</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bl>
    <w:p>
      <w:pPr>
        <w:pStyle w:val="ListParagraph"/>
        <w:spacing w:before="60" w:after="60"/>
        <w:ind w:start="1080" w:hanging="0"/>
        <w:contextualSpacing/>
        <w:rPr>
          <w:rFonts w:ascii="Tahoma" w:hAnsi="Tahoma" w:cs="Tahoma"/>
          <w:spacing w:val="-8"/>
          <w:sz w:val="18"/>
          <w:szCs w:val="20"/>
        </w:rPr>
      </w:pPr>
      <w:r>
        <w:rPr>
          <w:rFonts w:cs="Tahoma" w:ascii="Tahoma" w:hAnsi="Tahoma"/>
          <w:spacing w:val="-8"/>
          <w:sz w:val="18"/>
          <w:szCs w:val="20"/>
        </w:rPr>
      </w:r>
    </w:p>
    <w:tbl>
      <w:tblPr>
        <w:tblStyle w:val="TableGrid"/>
        <w:tblW w:w="10527"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2977"/>
        <w:gridCol w:w="1730"/>
        <w:gridCol w:w="1464"/>
        <w:gridCol w:w="1467"/>
        <w:gridCol w:w="1322"/>
        <w:gridCol w:w="1559"/>
        <w:gridCol w:w="7"/>
      </w:tblGrid>
      <w:tr>
        <w:trPr/>
        <w:tc>
          <w:tcPr>
            <w:tcW w:w="10526" w:type="dxa"/>
            <w:gridSpan w:val="7"/>
            <w:tcBorders/>
            <w:shd w:color="auto" w:fill="D9E2F3" w:themeFill="accent1" w:themeFillTint="33" w:val="clear"/>
          </w:tcPr>
          <w:p>
            <w:pPr>
              <w:pStyle w:val="Normal"/>
              <w:widowControl w:val="false"/>
              <w:suppressAutoHyphens w:val="true"/>
              <w:spacing w:lineRule="auto" w:line="240" w:before="0" w:after="0"/>
              <w:jc w:val="start"/>
              <w:rPr>
                <w:rFonts w:ascii="Tahoma" w:hAnsi="Tahoma" w:cs="Tahoma"/>
                <w:spacing w:val="-8"/>
                <w:sz w:val="20"/>
                <w:szCs w:val="20"/>
              </w:rPr>
            </w:pPr>
            <w:r>
              <w:rPr>
                <w:rFonts w:eastAsia="Calibri" w:cs="Tahoma" w:ascii="Tahoma" w:hAnsi="Tahoma"/>
                <w:b/>
                <w:kern w:val="2"/>
                <w:sz w:val="20"/>
                <w:szCs w:val="20"/>
                <w:lang w:val="en-US" w:eastAsia="en-US" w:bidi="ar-SA"/>
              </w:rPr>
              <w:t xml:space="preserve">ПОСЕБНИ ЦИЉ 3: </w:t>
            </w:r>
            <w:r>
              <w:rPr>
                <w:rFonts w:eastAsia="Times New Roman" w:cs="Tahoma" w:ascii="Tahoma" w:hAnsi="Tahoma"/>
                <w:b/>
                <w:bCs/>
                <w:kern w:val="2"/>
                <w:sz w:val="20"/>
                <w:szCs w:val="20"/>
                <w:lang w:val="en-US" w:eastAsia="sr-Latn-RS" w:bidi="ar-SA"/>
              </w:rPr>
              <w:t>Повећање информисаности грађана о правима и услугама социјалне заштите</w:t>
            </w:r>
          </w:p>
        </w:tc>
      </w:tr>
      <w:tr>
        <w:trPr/>
        <w:tc>
          <w:tcPr>
            <w:tcW w:w="2977" w:type="dxa"/>
            <w:tcBorders/>
            <w:shd w:color="auto" w:fill="D9E2F3" w:themeFill="accent1" w:themeFillTint="33" w:val="clea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Изнака и назив мере</w:t>
            </w:r>
          </w:p>
        </w:tc>
        <w:tc>
          <w:tcPr>
            <w:tcW w:w="173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Извори</w:t>
            </w:r>
          </w:p>
        </w:tc>
        <w:tc>
          <w:tcPr>
            <w:tcW w:w="1464"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w:t>
            </w:r>
          </w:p>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 000 РСД</w:t>
            </w:r>
          </w:p>
        </w:tc>
        <w:tc>
          <w:tcPr>
            <w:tcW w:w="1467"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en-US" w:eastAsia="en-US" w:bidi="ar-SA"/>
              </w:rPr>
              <w:t>2026</w:t>
            </w:r>
          </w:p>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 000 РСД</w:t>
            </w:r>
          </w:p>
        </w:tc>
        <w:tc>
          <w:tcPr>
            <w:tcW w:w="1322"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w:t>
            </w:r>
          </w:p>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sr-RS" w:eastAsia="en-US" w:bidi="ar-SA"/>
              </w:rPr>
              <w:t>У 000 РСД</w:t>
            </w:r>
          </w:p>
        </w:tc>
        <w:tc>
          <w:tcPr>
            <w:tcW w:w="1559" w:type="dxa"/>
            <w:tcBorders/>
            <w:shd w:color="auto" w:fill="D9E2F3" w:themeFill="accent1" w:themeFillTint="33" w:val="clear"/>
          </w:tcPr>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Укупно</w:t>
            </w:r>
          </w:p>
          <w:p>
            <w:pPr>
              <w:pStyle w:val="Normal"/>
              <w:widowControl w:val="false"/>
              <w:suppressAutoHyphens w:val="true"/>
              <w:spacing w:lineRule="auto" w:line="240" w:before="60" w:after="60"/>
              <w:jc w:val="center"/>
              <w:rPr>
                <w:rFonts w:ascii="Tahoma" w:hAnsi="Tahoma" w:cs="Tahoma"/>
                <w:b/>
                <w:b/>
                <w:sz w:val="18"/>
                <w:szCs w:val="20"/>
                <w:lang w:val="sr-RS"/>
              </w:rPr>
            </w:pPr>
            <w:r>
              <w:rPr>
                <w:rFonts w:eastAsia="Calibri" w:cs="Tahoma" w:ascii="Tahoma" w:hAnsi="Tahoma"/>
                <w:b/>
                <w:kern w:val="2"/>
                <w:sz w:val="18"/>
                <w:szCs w:val="20"/>
                <w:lang w:val="sr-RS" w:eastAsia="en-US" w:bidi="ar-SA"/>
              </w:rPr>
              <w:t>У 000 РСД</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c>
          <w:tcPr>
            <w:tcW w:w="2977" w:type="dxa"/>
            <w:tcBorders/>
            <w:shd w:color="auto" w:fill="auto" w:val="clear"/>
          </w:tcPr>
          <w:p>
            <w:pPr>
              <w:pStyle w:val="Normal"/>
              <w:widowControl w:val="false"/>
              <w:suppressAutoHyphens w:val="true"/>
              <w:spacing w:lineRule="auto" w:line="240" w:before="0" w:after="120"/>
              <w:jc w:val="start"/>
              <w:rPr>
                <w:rFonts w:ascii="Tahoma" w:hAnsi="Tahoma" w:eastAsia="Times New Roman" w:cs="Tahoma"/>
                <w:sz w:val="18"/>
                <w:szCs w:val="20"/>
                <w:lang w:eastAsia="sr-Latn-RS"/>
              </w:rPr>
            </w:pPr>
            <w:r>
              <w:rPr>
                <w:rFonts w:eastAsia="Calibri" w:cs="Tahoma" w:ascii="Tahoma" w:hAnsi="Tahoma"/>
                <w:kern w:val="2"/>
                <w:sz w:val="18"/>
                <w:szCs w:val="20"/>
                <w:lang w:val="en-US" w:eastAsia="en-US" w:bidi="ar-SA"/>
              </w:rPr>
              <w:t xml:space="preserve">МЕРА 3.1. </w:t>
            </w:r>
            <w:r>
              <w:rPr>
                <w:rFonts w:eastAsia="Times New Roman" w:cs="Tahoma" w:ascii="Tahoma" w:hAnsi="Tahoma"/>
                <w:kern w:val="2"/>
                <w:sz w:val="18"/>
                <w:szCs w:val="20"/>
                <w:lang w:val="en-US" w:eastAsia="sr-Latn-RS" w:bidi="ar-SA"/>
              </w:rPr>
              <w:t>Информисање јавности/потенцијалних корисника о доступним услугама</w:t>
            </w:r>
          </w:p>
        </w:tc>
        <w:tc>
          <w:tcPr>
            <w:tcW w:w="1730" w:type="dxa"/>
            <w:tcBorders/>
            <w:shd w:color="auto" w:fill="auto" w:val="clear"/>
          </w:tcPr>
          <w:p>
            <w:pPr>
              <w:pStyle w:val="Normal"/>
              <w:widowControl w:val="false"/>
              <w:suppressAutoHyphens w:val="true"/>
              <w:spacing w:lineRule="auto" w:line="240" w:before="60" w:after="60"/>
              <w:jc w:val="center"/>
              <w:rPr>
                <w:rFonts w:ascii="Tahoma" w:hAnsi="Tahoma" w:cs="Tahoma"/>
                <w:sz w:val="18"/>
                <w:szCs w:val="20"/>
                <w:highlight w:val="yellow"/>
              </w:rPr>
            </w:pPr>
            <w:r>
              <w:rPr>
                <w:rFonts w:eastAsia="Calibri" w:cs="Tahoma" w:ascii="Tahoma" w:hAnsi="Tahoma"/>
                <w:spacing w:val="-8"/>
                <w:kern w:val="2"/>
                <w:sz w:val="18"/>
                <w:szCs w:val="20"/>
                <w:lang w:val="en-US" w:eastAsia="en-US" w:bidi="ar-SA"/>
              </w:rPr>
              <w:t>01-средства из буџета ЈЛС</w:t>
            </w:r>
          </w:p>
        </w:tc>
        <w:tc>
          <w:tcPr>
            <w:tcW w:w="1464" w:type="dxa"/>
            <w:tcBorders/>
            <w:shd w:color="auto" w:fill="auto" w:val="clea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kern w:val="2"/>
                <w:sz w:val="18"/>
                <w:szCs w:val="20"/>
                <w:lang w:val="en-US" w:eastAsia="en-US" w:bidi="ar-SA"/>
              </w:rPr>
              <w:t>100</w:t>
            </w:r>
          </w:p>
        </w:tc>
        <w:tc>
          <w:tcPr>
            <w:tcW w:w="1467" w:type="dxa"/>
            <w:tcBorders/>
            <w:shd w:color="auto" w:fill="auto" w:val="clea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322" w:type="dxa"/>
            <w:tcBorders/>
            <w:shd w:color="auto" w:fill="auto" w:val="clea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kern w:val="2"/>
                <w:sz w:val="18"/>
                <w:szCs w:val="20"/>
                <w:lang w:val="en-US" w:eastAsia="en-US" w:bidi="ar-SA"/>
              </w:rPr>
              <w:t>100</w:t>
            </w:r>
          </w:p>
        </w:tc>
        <w:tc>
          <w:tcPr>
            <w:tcW w:w="1559" w:type="dxa"/>
            <w:tcBorders/>
          </w:tcPr>
          <w:p>
            <w:pPr>
              <w:pStyle w:val="Normal"/>
              <w:widowControl w:val="false"/>
              <w:suppressAutoHyphens w:val="true"/>
              <w:spacing w:lineRule="auto" w:line="240" w:before="60" w:after="60"/>
              <w:jc w:val="center"/>
              <w:rPr>
                <w:rFonts w:ascii="Tahoma" w:hAnsi="Tahoma" w:cs="Tahoma"/>
                <w:sz w:val="18"/>
                <w:szCs w:val="20"/>
                <w:lang w:val="sr-RS"/>
              </w:rPr>
            </w:pPr>
            <w:r>
              <w:rPr>
                <w:rFonts w:cs="Tahoma" w:ascii="Tahoma" w:hAnsi="Tahoma"/>
                <w:sz w:val="18"/>
                <w:szCs w:val="20"/>
                <w:lang w:val="sr-RS"/>
              </w:rPr>
            </w:r>
          </w:p>
          <w:p>
            <w:pPr>
              <w:pStyle w:val="Normal"/>
              <w:widowControl w:val="false"/>
              <w:suppressAutoHyphens w:val="true"/>
              <w:spacing w:lineRule="auto" w:line="240" w:before="60" w:after="60"/>
              <w:jc w:val="center"/>
              <w:rPr>
                <w:rFonts w:ascii="Tahoma" w:hAnsi="Tahoma" w:cs="Tahoma"/>
                <w:sz w:val="18"/>
                <w:szCs w:val="20"/>
                <w:lang w:val="sr-RS"/>
              </w:rPr>
            </w:pPr>
            <w:r>
              <w:rPr>
                <w:rFonts w:eastAsia="Calibri" w:cs="Tahoma" w:ascii="Tahoma" w:hAnsi="Tahoma"/>
                <w:kern w:val="2"/>
                <w:sz w:val="18"/>
                <w:szCs w:val="20"/>
                <w:lang w:val="sr-RS" w:eastAsia="en-US" w:bidi="ar-SA"/>
              </w:rPr>
              <w:t>200</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rHeight w:val="685" w:hRule="atLeast"/>
        </w:trPr>
        <w:tc>
          <w:tcPr>
            <w:tcW w:w="2977" w:type="dxa"/>
            <w:tcBorders/>
            <w:shd w:color="auto" w:fill="auto" w:val="clear"/>
          </w:tcPr>
          <w:p>
            <w:pPr>
              <w:pStyle w:val="Normal"/>
              <w:widowControl w:val="false"/>
              <w:suppressAutoHyphens w:val="true"/>
              <w:spacing w:lineRule="auto" w:line="240" w:before="0" w:after="120"/>
              <w:jc w:val="start"/>
              <w:rPr>
                <w:rFonts w:ascii="Tahoma" w:hAnsi="Tahoma" w:cs="Tahoma"/>
                <w:sz w:val="18"/>
                <w:szCs w:val="20"/>
              </w:rPr>
            </w:pPr>
            <w:r>
              <w:rPr>
                <w:rFonts w:eastAsia="Calibri" w:cs="Tahoma" w:ascii="Tahoma" w:hAnsi="Tahoma"/>
                <w:kern w:val="2"/>
                <w:sz w:val="18"/>
                <w:szCs w:val="20"/>
                <w:lang w:val="en-US" w:eastAsia="en-US" w:bidi="ar-SA"/>
              </w:rPr>
              <w:t>МЕРА 3.2. Спровођење п</w:t>
            </w:r>
            <w:r>
              <w:rPr>
                <w:rFonts w:eastAsia="Times New Roman" w:cs="Tahoma" w:ascii="Tahoma" w:hAnsi="Tahoma"/>
                <w:kern w:val="2"/>
                <w:sz w:val="18"/>
                <w:szCs w:val="20"/>
                <w:lang w:val="en-US" w:eastAsia="sr-Latn-RS" w:bidi="ar-SA"/>
              </w:rPr>
              <w:t>ревентивних и промотивних информативно-едукативних кампања којима се развија свест о друштвеним проблемима и солидарности</w:t>
            </w:r>
          </w:p>
        </w:tc>
        <w:tc>
          <w:tcPr>
            <w:tcW w:w="1730" w:type="dxa"/>
            <w:tcBorders/>
            <w:shd w:color="auto" w:fill="auto" w:val="clea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spacing w:val="-8"/>
                <w:kern w:val="2"/>
                <w:sz w:val="18"/>
                <w:szCs w:val="20"/>
                <w:lang w:val="en-US" w:eastAsia="en-US" w:bidi="ar-SA"/>
              </w:rPr>
              <w:t>01-средства из буџета ЈЛС</w:t>
            </w:r>
          </w:p>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1464" w:type="dxa"/>
            <w:tcBorders/>
            <w:shd w:color="auto" w:fill="auto" w:val="clea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kern w:val="2"/>
                <w:sz w:val="18"/>
                <w:szCs w:val="20"/>
                <w:lang w:val="en-US" w:eastAsia="en-US" w:bidi="ar-SA"/>
              </w:rPr>
              <w:t>150</w:t>
            </w:r>
          </w:p>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7" w:type="dxa"/>
            <w:tcBorders/>
            <w:shd w:color="auto" w:fill="auto" w:val="clea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kern w:val="2"/>
                <w:sz w:val="18"/>
                <w:szCs w:val="20"/>
                <w:lang w:val="en-US" w:eastAsia="en-US" w:bidi="ar-SA"/>
              </w:rPr>
              <w:t>150</w:t>
            </w:r>
          </w:p>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322" w:type="dxa"/>
            <w:tcBorders/>
            <w:shd w:color="auto" w:fill="auto" w:val="clea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kern w:val="2"/>
                <w:sz w:val="18"/>
                <w:szCs w:val="20"/>
                <w:lang w:val="en-US" w:eastAsia="en-US" w:bidi="ar-SA"/>
              </w:rPr>
              <w:t>150</w:t>
            </w:r>
          </w:p>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559" w:type="dxa"/>
            <w:tcBorders/>
          </w:tcPr>
          <w:p>
            <w:pPr>
              <w:pStyle w:val="Normal"/>
              <w:widowControl w:val="false"/>
              <w:suppressAutoHyphens w:val="true"/>
              <w:spacing w:lineRule="auto" w:line="240" w:before="60" w:after="60"/>
              <w:jc w:val="center"/>
              <w:rPr>
                <w:rFonts w:ascii="Tahoma" w:hAnsi="Tahoma" w:cs="Tahoma"/>
                <w:sz w:val="18"/>
                <w:szCs w:val="20"/>
                <w:lang w:val="sr-RS"/>
              </w:rPr>
            </w:pPr>
            <w:r>
              <w:rPr>
                <w:rFonts w:cs="Tahoma" w:ascii="Tahoma" w:hAnsi="Tahoma"/>
                <w:sz w:val="18"/>
                <w:szCs w:val="20"/>
                <w:lang w:val="sr-RS"/>
              </w:rPr>
            </w:r>
          </w:p>
          <w:p>
            <w:pPr>
              <w:pStyle w:val="Normal"/>
              <w:widowControl w:val="false"/>
              <w:suppressAutoHyphens w:val="true"/>
              <w:spacing w:lineRule="auto" w:line="240" w:before="60" w:after="60"/>
              <w:jc w:val="center"/>
              <w:rPr>
                <w:rFonts w:ascii="Tahoma" w:hAnsi="Tahoma" w:cs="Tahoma"/>
                <w:sz w:val="18"/>
                <w:szCs w:val="20"/>
                <w:lang w:val="sr-RS"/>
              </w:rPr>
            </w:pPr>
            <w:r>
              <w:rPr>
                <w:rFonts w:eastAsia="Calibri" w:cs="Tahoma" w:ascii="Tahoma" w:hAnsi="Tahoma"/>
                <w:kern w:val="2"/>
                <w:sz w:val="18"/>
                <w:szCs w:val="20"/>
                <w:lang w:val="sr-RS" w:eastAsia="en-US" w:bidi="ar-SA"/>
              </w:rPr>
              <w:t>450</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r>
        <w:trPr>
          <w:trHeight w:val="379" w:hRule="atLeast"/>
        </w:trPr>
        <w:tc>
          <w:tcPr>
            <w:tcW w:w="8960" w:type="dxa"/>
            <w:gridSpan w:val="5"/>
            <w:tcBorders/>
            <w:shd w:color="auto" w:fill="auto" w:val="clear"/>
          </w:tcPr>
          <w:p>
            <w:pPr>
              <w:pStyle w:val="Normal"/>
              <w:widowControl w:val="false"/>
              <w:suppressAutoHyphens w:val="true"/>
              <w:spacing w:lineRule="auto" w:line="240" w:before="60" w:after="60"/>
              <w:jc w:val="end"/>
              <w:rPr>
                <w:rFonts w:ascii="Tahoma" w:hAnsi="Tahoma" w:cs="Tahoma"/>
                <w:b/>
                <w:b/>
                <w:sz w:val="20"/>
                <w:szCs w:val="20"/>
                <w:lang w:val="sr-RS"/>
              </w:rPr>
            </w:pPr>
            <w:r>
              <w:rPr>
                <w:rFonts w:eastAsia="Calibri" w:cs="Tahoma" w:ascii="Tahoma" w:hAnsi="Tahoma"/>
                <w:b/>
                <w:kern w:val="2"/>
                <w:sz w:val="20"/>
                <w:szCs w:val="20"/>
                <w:lang w:val="sr-RS" w:eastAsia="en-US" w:bidi="ar-SA"/>
              </w:rPr>
              <w:t>Укупно 2025-2027:</w:t>
            </w:r>
          </w:p>
        </w:tc>
        <w:tc>
          <w:tcPr>
            <w:tcW w:w="1559" w:type="dxa"/>
            <w:tcBorders/>
          </w:tcPr>
          <w:p>
            <w:pPr>
              <w:pStyle w:val="Normal"/>
              <w:widowControl w:val="false"/>
              <w:suppressAutoHyphens w:val="true"/>
              <w:spacing w:lineRule="auto" w:line="240" w:before="60" w:after="60"/>
              <w:jc w:val="center"/>
              <w:rPr>
                <w:rFonts w:ascii="Tahoma" w:hAnsi="Tahoma" w:cs="Tahoma"/>
                <w:b/>
                <w:b/>
                <w:sz w:val="20"/>
                <w:szCs w:val="20"/>
                <w:lang w:val="sr-RS"/>
              </w:rPr>
            </w:pPr>
            <w:r>
              <w:rPr>
                <w:rFonts w:eastAsia="Calibri" w:cs="Tahoma" w:ascii="Tahoma" w:hAnsi="Tahoma"/>
                <w:b/>
                <w:kern w:val="2"/>
                <w:sz w:val="20"/>
                <w:szCs w:val="20"/>
                <w:lang w:val="sr-RS" w:eastAsia="en-US" w:bidi="ar-SA"/>
              </w:rPr>
              <w:t>650</w:t>
            </w:r>
          </w:p>
        </w:tc>
        <w:tc>
          <w:tcPr>
            <w:tcW w:w="7" w:type="dxa"/>
            <w:tcBorders>
              <w:top w:val="nil"/>
              <w:start w:val="nil"/>
              <w:bottom w:val="nil"/>
              <w:end w:val="nil"/>
            </w:tcBorders>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Arial" w:ascii="Calibri" w:hAnsi="Calibri"/>
                <w:kern w:val="2"/>
                <w:sz w:val="22"/>
                <w:szCs w:val="22"/>
                <w:lang w:val="en-US" w:eastAsia="en-US" w:bidi="ar-SA"/>
              </w:rPr>
            </w:r>
          </w:p>
        </w:tc>
      </w:tr>
    </w:tbl>
    <w:p>
      <w:pPr>
        <w:pStyle w:val="ListParagraph"/>
        <w:spacing w:before="60" w:after="60"/>
        <w:ind w:start="1080" w:hanging="0"/>
        <w:contextualSpacing/>
        <w:rPr>
          <w:rFonts w:ascii="Tahoma" w:hAnsi="Tahoma" w:cs="Tahoma"/>
          <w:spacing w:val="-8"/>
          <w:sz w:val="18"/>
          <w:szCs w:val="20"/>
        </w:rPr>
      </w:pPr>
      <w:r>
        <w:rPr>
          <w:rFonts w:cs="Tahoma" w:ascii="Tahoma" w:hAnsi="Tahoma"/>
          <w:spacing w:val="-8"/>
          <w:sz w:val="18"/>
          <w:szCs w:val="20"/>
        </w:rPr>
      </w:r>
    </w:p>
    <w:p>
      <w:pPr>
        <w:pStyle w:val="Heading1"/>
        <w:numPr>
          <w:ilvl w:val="0"/>
          <w:numId w:val="1"/>
        </w:numPr>
        <w:spacing w:lineRule="auto" w:line="240"/>
        <w:ind w:start="284" w:hanging="360"/>
        <w:rPr>
          <w:rFonts w:ascii="Tahoma" w:hAnsi="Tahoma" w:cs="Tahoma"/>
          <w:b/>
          <w:b/>
          <w:szCs w:val="28"/>
          <w:lang w:val="sr-RS"/>
        </w:rPr>
      </w:pPr>
      <w:bookmarkStart w:id="32" w:name="_Toc188876959"/>
      <w:bookmarkStart w:id="33" w:name="_Toc144275073"/>
      <w:r>
        <w:rPr>
          <w:rFonts w:cs="Tahoma" w:ascii="Tahoma" w:hAnsi="Tahoma"/>
          <w:b/>
          <w:szCs w:val="28"/>
          <w:lang w:val="sr-RS"/>
        </w:rPr>
        <w:t xml:space="preserve">Оквир </w:t>
      </w:r>
      <w:bookmarkEnd w:id="33"/>
      <w:r>
        <w:rPr>
          <w:rFonts w:cs="Tahoma" w:ascii="Tahoma" w:hAnsi="Tahoma"/>
          <w:b/>
          <w:szCs w:val="28"/>
          <w:lang w:val="sr-RS"/>
        </w:rPr>
        <w:t>за праћење спровођења, вредновање учинака и извештавање</w:t>
      </w:r>
      <w:bookmarkEnd w:id="32"/>
    </w:p>
    <w:p>
      <w:pPr>
        <w:pStyle w:val="Normal"/>
        <w:spacing w:lineRule="auto" w:line="240" w:before="0" w:after="0"/>
        <w:jc w:val="both"/>
        <w:rPr>
          <w:rFonts w:ascii="Tahoma" w:hAnsi="Tahoma" w:cs="Tahoma"/>
          <w:color w:val="000000"/>
          <w:kern w:val="0"/>
          <w:sz w:val="20"/>
          <w:lang w:val="sr-RS"/>
        </w:rPr>
      </w:pPr>
      <w:r>
        <w:rPr>
          <w:rFonts w:cs="Tahoma" w:ascii="Tahoma" w:hAnsi="Tahoma"/>
          <w:color w:val="000000"/>
          <w:kern w:val="0"/>
          <w:sz w:val="20"/>
          <w:lang w:val="sr-RS"/>
        </w:rPr>
      </w:r>
    </w:p>
    <w:p>
      <w:pPr>
        <w:pStyle w:val="Normal"/>
        <w:spacing w:lineRule="auto" w:line="240" w:before="0" w:after="0"/>
        <w:jc w:val="both"/>
        <w:rPr>
          <w:rFonts w:ascii="Tahoma" w:hAnsi="Tahoma" w:cs="Tahoma"/>
          <w:color w:val="000000"/>
          <w:kern w:val="0"/>
          <w:sz w:val="20"/>
          <w:lang w:val="sr-RS"/>
        </w:rPr>
      </w:pPr>
      <w:r>
        <w:rPr>
          <w:rFonts w:cs="Tahoma" w:ascii="Tahoma" w:hAnsi="Tahoma"/>
          <w:color w:val="000000"/>
          <w:kern w:val="0"/>
          <w:sz w:val="20"/>
          <w:lang w:val="sr-Latn-RS"/>
        </w:rPr>
        <w:t xml:space="preserve">За потребе праћења спровођења, вредновања учинка и извештавања о имплементацији Програма унапређења социјалне заштите општина </w:t>
      </w:r>
      <w:r>
        <w:rPr>
          <w:rFonts w:cs="Tahoma" w:ascii="Tahoma" w:hAnsi="Tahoma"/>
          <w:color w:val="000000"/>
          <w:kern w:val="0"/>
          <w:sz w:val="20"/>
          <w:lang w:val="sr-RS"/>
        </w:rPr>
        <w:t xml:space="preserve">Беочин је </w:t>
      </w:r>
      <w:r>
        <w:rPr>
          <w:rFonts w:cs="Tahoma" w:ascii="Tahoma" w:hAnsi="Tahoma"/>
          <w:color w:val="000000"/>
          <w:kern w:val="0"/>
          <w:sz w:val="20"/>
          <w:lang w:val="sr-Latn-RS"/>
        </w:rPr>
        <w:t>успостави</w:t>
      </w:r>
      <w:r>
        <w:rPr>
          <w:rFonts w:cs="Tahoma" w:ascii="Tahoma" w:hAnsi="Tahoma"/>
          <w:color w:val="000000"/>
          <w:kern w:val="0"/>
          <w:sz w:val="20"/>
          <w:lang w:val="sr-RS"/>
        </w:rPr>
        <w:t>ла Р</w:t>
      </w:r>
      <w:r>
        <w:rPr>
          <w:rFonts w:cs="Tahoma" w:ascii="Tahoma" w:hAnsi="Tahoma"/>
          <w:color w:val="000000"/>
          <w:kern w:val="0"/>
          <w:sz w:val="20"/>
          <w:lang w:val="sr-Latn-RS"/>
        </w:rPr>
        <w:t xml:space="preserve">адну групу. Чланови радне групе </w:t>
      </w:r>
      <w:r>
        <w:rPr>
          <w:rFonts w:cs="Tahoma" w:ascii="Tahoma" w:hAnsi="Tahoma"/>
          <w:color w:val="000000"/>
          <w:kern w:val="0"/>
          <w:sz w:val="20"/>
          <w:lang w:val="sr-RS"/>
        </w:rPr>
        <w:t>су</w:t>
      </w:r>
      <w:r>
        <w:rPr>
          <w:rFonts w:cs="Tahoma" w:ascii="Tahoma" w:hAnsi="Tahoma"/>
          <w:color w:val="000000"/>
          <w:kern w:val="0"/>
          <w:sz w:val="20"/>
          <w:lang w:val="sr-Latn-RS"/>
        </w:rPr>
        <w:t xml:space="preserve"> представници </w:t>
      </w:r>
      <w:r>
        <w:rPr>
          <w:rFonts w:cs="Tahoma" w:ascii="Tahoma" w:hAnsi="Tahoma"/>
          <w:color w:val="000000"/>
          <w:kern w:val="0"/>
          <w:sz w:val="20"/>
          <w:lang w:val="sr-RS"/>
        </w:rPr>
        <w:t xml:space="preserve">локалне самоуправе и релевантних институцијја и организација  цивилног друштва. Радна група има задатак да, поред израде Програма, прати његову имплементацију и врши извештавање о имплементацији. </w:t>
      </w:r>
    </w:p>
    <w:p>
      <w:pPr>
        <w:pStyle w:val="Normal"/>
        <w:spacing w:lineRule="auto" w:line="240" w:before="0" w:after="0"/>
        <w:jc w:val="both"/>
        <w:rPr>
          <w:rFonts w:ascii="Tahoma" w:hAnsi="Tahoma" w:cs="Tahoma"/>
          <w:color w:val="000000"/>
          <w:kern w:val="0"/>
          <w:sz w:val="20"/>
          <w:lang w:val="sr-RS"/>
        </w:rPr>
      </w:pPr>
      <w:r>
        <w:rPr>
          <w:rFonts w:cs="Tahoma" w:ascii="Tahoma" w:hAnsi="Tahoma"/>
          <w:color w:val="000000"/>
          <w:kern w:val="0"/>
          <w:sz w:val="20"/>
          <w:lang w:val="sr-RS"/>
        </w:rPr>
      </w:r>
    </w:p>
    <w:p>
      <w:pPr>
        <w:pStyle w:val="Normal"/>
        <w:spacing w:lineRule="auto" w:line="240" w:before="0" w:after="0"/>
        <w:jc w:val="both"/>
        <w:rPr>
          <w:rFonts w:ascii="Tahoma" w:hAnsi="Tahoma" w:cs="Tahoma"/>
          <w:color w:val="000000"/>
          <w:kern w:val="0"/>
          <w:sz w:val="20"/>
          <w:lang w:val="sr-RS"/>
        </w:rPr>
      </w:pPr>
      <w:r>
        <w:rPr>
          <w:rFonts w:cs="Tahoma" w:ascii="Tahoma" w:hAnsi="Tahoma"/>
          <w:color w:val="000000"/>
          <w:kern w:val="0"/>
          <w:sz w:val="20"/>
          <w:lang w:val="sr-RS"/>
        </w:rPr>
        <w:t xml:space="preserve">Осим тога, општина Беочин ће посебним актом оформити савет за социјалну политику којим ће се дефинисати и његова улога у имплементацији и праћењу имплементације овог Програма. </w:t>
      </w:r>
    </w:p>
    <w:p>
      <w:pPr>
        <w:pStyle w:val="Normal"/>
        <w:spacing w:lineRule="auto" w:line="240" w:before="0" w:after="0"/>
        <w:jc w:val="both"/>
        <w:rPr>
          <w:rFonts w:ascii="Tahoma" w:hAnsi="Tahoma" w:cs="Tahoma"/>
          <w:color w:val="000000"/>
          <w:kern w:val="0"/>
          <w:sz w:val="20"/>
          <w:lang w:val="sr-Latn-RS"/>
        </w:rPr>
      </w:pPr>
      <w:r>
        <w:rPr>
          <w:rFonts w:cs="Tahoma" w:ascii="Tahoma" w:hAnsi="Tahoma"/>
          <w:color w:val="000000"/>
          <w:kern w:val="0"/>
          <w:sz w:val="20"/>
          <w:lang w:val="sr-Latn-RS"/>
        </w:rPr>
      </w:r>
    </w:p>
    <w:p>
      <w:pPr>
        <w:pStyle w:val="Normal"/>
        <w:spacing w:lineRule="auto" w:line="240" w:before="0" w:after="0"/>
        <w:jc w:val="both"/>
        <w:rPr>
          <w:rFonts w:ascii="Tahoma" w:hAnsi="Tahoma" w:cs="Tahoma"/>
          <w:color w:val="000000"/>
          <w:kern w:val="0"/>
          <w:sz w:val="20"/>
          <w:lang w:val="sr-Latn-RS"/>
        </w:rPr>
      </w:pPr>
      <w:r>
        <w:rPr>
          <w:rFonts w:cs="Tahoma" w:ascii="Tahoma" w:hAnsi="Tahoma"/>
          <w:color w:val="000000"/>
          <w:kern w:val="0"/>
          <w:sz w:val="20"/>
          <w:lang w:val="sr-Latn-RS"/>
        </w:rPr>
        <w:t>Радна група ће у својим годишњим плановима рада прецизније дефинисати технике помоћу којих ће се спроводити праћење спровођења Програма и вредновање учинка. Као методе и технике користиће се стандардни сет алатки међу којима су: евидентирање корисника и услуга</w:t>
      </w:r>
      <w:r>
        <w:rPr>
          <w:rFonts w:cs="Tahoma" w:ascii="Tahoma" w:hAnsi="Tahoma"/>
          <w:color w:val="000000"/>
          <w:kern w:val="0"/>
          <w:sz w:val="20"/>
          <w:lang w:val="sr-RS"/>
        </w:rPr>
        <w:t xml:space="preserve">, анализа извештаја пружалаца услуга, </w:t>
      </w:r>
      <w:r>
        <w:rPr>
          <w:rFonts w:cs="Tahoma" w:ascii="Tahoma" w:hAnsi="Tahoma"/>
          <w:color w:val="000000"/>
          <w:kern w:val="0"/>
          <w:sz w:val="20"/>
          <w:lang w:val="sr-Latn-RS"/>
        </w:rPr>
        <w:t>интервјуи са корисницима и пружаоцима услуга (разговори, упитници за испитивање задовољства корисника, анкете, скале процене)</w:t>
      </w:r>
      <w:r>
        <w:rPr>
          <w:rFonts w:cs="Tahoma" w:ascii="Tahoma" w:hAnsi="Tahoma"/>
          <w:color w:val="000000"/>
          <w:kern w:val="0"/>
          <w:sz w:val="20"/>
          <w:lang w:val="sr-RS"/>
        </w:rPr>
        <w:t>. И анализа друге релевантне документације</w:t>
      </w:r>
      <w:r>
        <w:rPr>
          <w:rFonts w:cs="Tahoma" w:ascii="Tahoma" w:hAnsi="Tahoma"/>
          <w:color w:val="000000"/>
          <w:kern w:val="0"/>
          <w:sz w:val="20"/>
          <w:lang w:val="sr-Latn-RS"/>
        </w:rPr>
        <w:t xml:space="preserve">. </w:t>
      </w:r>
    </w:p>
    <w:p>
      <w:pPr>
        <w:pStyle w:val="Normal"/>
        <w:spacing w:lineRule="auto" w:line="240" w:before="0" w:after="0"/>
        <w:jc w:val="both"/>
        <w:rPr>
          <w:rFonts w:ascii="Tahoma" w:hAnsi="Tahoma" w:cs="Tahoma"/>
          <w:kern w:val="0"/>
          <w:sz w:val="20"/>
          <w:lang w:val="sr-Latn-RS"/>
        </w:rPr>
      </w:pPr>
      <w:r>
        <w:rPr>
          <w:rFonts w:cs="Tahoma" w:ascii="Tahoma" w:hAnsi="Tahoma"/>
          <w:kern w:val="0"/>
          <w:sz w:val="20"/>
          <w:lang w:val="sr-Latn-RS"/>
        </w:rPr>
      </w:r>
    </w:p>
    <w:p>
      <w:pPr>
        <w:pStyle w:val="Normal"/>
        <w:spacing w:lineRule="auto" w:line="240" w:before="0" w:after="0"/>
        <w:jc w:val="both"/>
        <w:rPr>
          <w:rFonts w:ascii="Tahoma" w:hAnsi="Tahoma" w:cs="Tahoma"/>
          <w:kern w:val="0"/>
          <w:sz w:val="20"/>
          <w:lang w:val="sr-Latn-RS"/>
        </w:rPr>
      </w:pPr>
      <w:r>
        <w:rPr>
          <w:rFonts w:cs="Tahoma" w:ascii="Tahoma" w:hAnsi="Tahoma"/>
          <w:kern w:val="0"/>
          <w:sz w:val="20"/>
          <w:lang w:val="sr-Latn-RS"/>
        </w:rPr>
        <w:t xml:space="preserve">Циљ праћења и вредновања спровођења Програма унапређења социјалне заштите је да се систематично и редовно прикупљају подаци, прати и надгледа процес имплементације мера и активности и процењује степен остварења општег и посебних циљева. Сврха праћења и вредновања је праћење напретка, побољшање ефикасности и успешности имплементације Програма, али и предлагање измена у активностима на основу налаза и оцена. </w:t>
      </w:r>
    </w:p>
    <w:p>
      <w:pPr>
        <w:pStyle w:val="Normal"/>
        <w:spacing w:lineRule="auto" w:line="240" w:before="0" w:after="0"/>
        <w:jc w:val="both"/>
        <w:rPr>
          <w:rFonts w:ascii="Tahoma" w:hAnsi="Tahoma" w:cs="Tahoma"/>
          <w:kern w:val="0"/>
          <w:sz w:val="20"/>
          <w:lang w:val="sr-Latn-RS"/>
        </w:rPr>
      </w:pPr>
      <w:r>
        <w:rPr>
          <w:rFonts w:cs="Tahoma" w:ascii="Tahoma" w:hAnsi="Tahoma"/>
          <w:kern w:val="0"/>
          <w:sz w:val="20"/>
          <w:lang w:val="sr-Latn-RS"/>
        </w:rPr>
      </w:r>
    </w:p>
    <w:p>
      <w:pPr>
        <w:pStyle w:val="Normal"/>
        <w:spacing w:lineRule="auto" w:line="240" w:before="0" w:after="0"/>
        <w:jc w:val="both"/>
        <w:rPr>
          <w:rFonts w:ascii="Tahoma" w:hAnsi="Tahoma" w:cs="Tahoma"/>
          <w:kern w:val="0"/>
          <w:sz w:val="20"/>
          <w:lang w:val="sr-Latn-RS"/>
        </w:rPr>
      </w:pPr>
      <w:r>
        <w:rPr>
          <w:rFonts w:cs="Tahoma" w:ascii="Tahoma" w:hAnsi="Tahoma"/>
          <w:kern w:val="0"/>
          <w:sz w:val="20"/>
          <w:lang w:val="sr-Latn-RS"/>
        </w:rPr>
        <w:t xml:space="preserve">Када је у питању временски оквир, праћење имплементације мера и активности ће представљати непрекидан процес прикупљања података и спроводиће се континуирано током реализације активности које су предмет праћења, за период на који се прави Програм. Вредновање учинка као анализа података и доношење оцене о успешности, вршиће се периодично и пратиће одређене фазе имплементације Програма а најмање једном годишње и извештај о вредновању учинка биће саставни део целовитог извештаја о спровођењу Програма који ће се подносити Скупштини општине и јавности на увид, разматрање и евентуално кориговање. </w:t>
      </w:r>
    </w:p>
    <w:p>
      <w:pPr>
        <w:pStyle w:val="Normal"/>
        <w:spacing w:lineRule="auto" w:line="240" w:before="0" w:after="0"/>
        <w:jc w:val="both"/>
        <w:rPr>
          <w:rFonts w:ascii="Tahoma" w:hAnsi="Tahoma" w:cs="Tahoma"/>
          <w:kern w:val="0"/>
          <w:sz w:val="20"/>
          <w:lang w:val="sr-RS"/>
        </w:rPr>
      </w:pPr>
      <w:r>
        <w:rPr>
          <w:rFonts w:cs="Tahoma" w:ascii="Tahoma" w:hAnsi="Tahoma"/>
          <w:kern w:val="0"/>
          <w:sz w:val="20"/>
          <w:lang w:val="sr-RS"/>
        </w:rPr>
      </w:r>
    </w:p>
    <w:p>
      <w:pPr>
        <w:pStyle w:val="Normal"/>
        <w:spacing w:lineRule="auto" w:line="240" w:before="0" w:after="0"/>
        <w:jc w:val="both"/>
        <w:rPr>
          <w:rFonts w:ascii="Tahoma" w:hAnsi="Tahoma" w:cs="Tahoma"/>
          <w:kern w:val="0"/>
          <w:sz w:val="20"/>
          <w:lang w:val="sr-RS"/>
        </w:rPr>
      </w:pPr>
      <w:r>
        <w:rPr>
          <w:rFonts w:cs="Tahoma" w:ascii="Tahoma" w:hAnsi="Tahoma"/>
          <w:kern w:val="0"/>
          <w:sz w:val="20"/>
          <w:lang w:val="sr-RS"/>
        </w:rPr>
        <w:t xml:space="preserve">Годишњи извештаји о имплементацији Акционог плана за 2025, 2026. и подаци за 2027. годину биће основ за израду Акционог плана овог Програма за период од 2028. до 2030.  године коју је потребно покренути половином 2027. године. </w:t>
      </w:r>
    </w:p>
    <w:p>
      <w:pPr>
        <w:pStyle w:val="Normal"/>
        <w:spacing w:lineRule="auto" w:line="240" w:before="0" w:after="0"/>
        <w:jc w:val="both"/>
        <w:rPr>
          <w:rFonts w:ascii="Tahoma" w:hAnsi="Tahoma" w:cs="Tahoma"/>
          <w:kern w:val="0"/>
          <w:sz w:val="20"/>
          <w:lang w:val="sr-RS"/>
        </w:rPr>
      </w:pPr>
      <w:r>
        <w:rPr>
          <w:rFonts w:cs="Tahoma" w:ascii="Tahoma" w:hAnsi="Tahoma"/>
          <w:kern w:val="0"/>
          <w:sz w:val="20"/>
          <w:lang w:val="sr-RS"/>
        </w:rPr>
      </w:r>
    </w:p>
    <w:p>
      <w:pPr>
        <w:pStyle w:val="Normal"/>
        <w:spacing w:lineRule="auto" w:line="240" w:before="0" w:after="0"/>
        <w:jc w:val="both"/>
        <w:rPr>
          <w:rFonts w:ascii="Tahoma" w:hAnsi="Tahoma" w:cs="Tahoma"/>
          <w:kern w:val="0"/>
          <w:sz w:val="20"/>
          <w:lang w:val="sr-Latn-RS"/>
        </w:rPr>
      </w:pPr>
      <w:r>
        <w:rPr>
          <w:rFonts w:cs="Tahoma" w:ascii="Tahoma" w:hAnsi="Tahoma"/>
          <w:kern w:val="0"/>
          <w:sz w:val="20"/>
          <w:lang w:val="sr-Latn-RS"/>
        </w:rPr>
        <w:t>Завршно вредновање учинка Програма унапређења социјалне заштите обавиће се на крају, 20</w:t>
      </w:r>
      <w:r>
        <w:rPr>
          <w:rFonts w:cs="Tahoma" w:ascii="Tahoma" w:hAnsi="Tahoma"/>
          <w:kern w:val="0"/>
          <w:sz w:val="20"/>
          <w:lang w:val="sr-RS"/>
        </w:rPr>
        <w:t>30</w:t>
      </w:r>
      <w:r>
        <w:rPr>
          <w:rFonts w:cs="Tahoma" w:ascii="Tahoma" w:hAnsi="Tahoma"/>
          <w:kern w:val="0"/>
          <w:sz w:val="20"/>
          <w:lang w:val="sr-Latn-RS"/>
        </w:rPr>
        <w:t xml:space="preserve">. године. </w:t>
      </w:r>
    </w:p>
    <w:p>
      <w:pPr>
        <w:pStyle w:val="Normal"/>
        <w:spacing w:lineRule="auto" w:line="240" w:before="0" w:after="0"/>
        <w:jc w:val="both"/>
        <w:rPr>
          <w:rFonts w:ascii="Tahoma" w:hAnsi="Tahoma" w:cs="Tahoma"/>
          <w:kern w:val="0"/>
          <w:sz w:val="20"/>
          <w:lang w:val="sr-Latn-RS"/>
        </w:rPr>
      </w:pPr>
      <w:r>
        <w:rPr>
          <w:rFonts w:cs="Tahoma" w:ascii="Tahoma" w:hAnsi="Tahoma"/>
          <w:kern w:val="0"/>
          <w:sz w:val="20"/>
          <w:lang w:val="sr-Latn-RS"/>
        </w:rPr>
        <w:t xml:space="preserve">Сви извештаји ће се објављивати на званичном </w:t>
      </w:r>
      <w:r>
        <w:rPr>
          <w:rFonts w:cs="Tahoma" w:ascii="Tahoma" w:hAnsi="Tahoma"/>
          <w:kern w:val="0"/>
          <w:sz w:val="20"/>
          <w:lang w:val="sr-RS"/>
        </w:rPr>
        <w:t>веб</w:t>
      </w:r>
      <w:r>
        <w:rPr>
          <w:rFonts w:cs="Tahoma" w:ascii="Tahoma" w:hAnsi="Tahoma"/>
          <w:kern w:val="0"/>
          <w:sz w:val="20"/>
          <w:lang w:val="sr-Latn-RS"/>
        </w:rPr>
        <w:t xml:space="preserve"> сајту општине </w:t>
      </w:r>
      <w:r>
        <w:rPr>
          <w:rFonts w:cs="Tahoma" w:ascii="Tahoma" w:hAnsi="Tahoma"/>
          <w:kern w:val="0"/>
          <w:sz w:val="20"/>
          <w:lang w:val="sr-RS"/>
        </w:rPr>
        <w:t>Беочин</w:t>
      </w:r>
      <w:r>
        <w:rPr>
          <w:rFonts w:cs="Tahoma" w:ascii="Tahoma" w:hAnsi="Tahoma"/>
          <w:kern w:val="0"/>
          <w:sz w:val="20"/>
          <w:lang w:val="sr-Latn-RS"/>
        </w:rPr>
        <w:t xml:space="preserve">, најкасније 15 дана од дана усвајања. </w:t>
      </w:r>
    </w:p>
    <w:p>
      <w:pPr>
        <w:sectPr>
          <w:headerReference w:type="default" r:id="rId14"/>
          <w:headerReference w:type="first" r:id="rId15"/>
          <w:footerReference w:type="default" r:id="rId16"/>
          <w:footerReference w:type="first" r:id="rId17"/>
          <w:footnotePr>
            <w:numFmt w:val="decimal"/>
          </w:footnotePr>
          <w:type w:val="nextPage"/>
          <w:pgSz w:w="12240" w:h="15840"/>
          <w:pgMar w:left="1440" w:right="1440" w:header="720" w:top="1440" w:footer="720" w:bottom="1440" w:gutter="0"/>
          <w:pgNumType w:fmt="decimal"/>
          <w:formProt w:val="false"/>
          <w:titlePg/>
          <w:textDirection w:val="lrTb"/>
          <w:docGrid w:type="default" w:linePitch="360" w:charSpace="4096"/>
        </w:sectPr>
        <w:pStyle w:val="Normal"/>
        <w:jc w:val="both"/>
        <w:rPr>
          <w:rFonts w:ascii="Tahoma" w:hAnsi="Tahoma" w:cs="Tahoma"/>
          <w:sz w:val="18"/>
          <w:lang w:val="sr-RS"/>
        </w:rPr>
      </w:pPr>
      <w:r>
        <w:rPr>
          <w:rFonts w:cs="Tahoma" w:ascii="Tahoma" w:hAnsi="Tahoma"/>
          <w:kern w:val="0"/>
          <w:sz w:val="20"/>
          <w:lang w:val="sr-Latn-RS"/>
        </w:rPr>
        <w:t>Уколико се након усвајања извештаја утврди потреба за ревизијом Програма, истој ће се приступити у складу са процедурама које прописује ЗПС.</w:t>
      </w:r>
    </w:p>
    <w:p>
      <w:pPr>
        <w:pStyle w:val="Heading1"/>
        <w:numPr>
          <w:ilvl w:val="0"/>
          <w:numId w:val="1"/>
        </w:numPr>
        <w:spacing w:lineRule="auto" w:line="240"/>
        <w:ind w:start="284" w:hanging="360"/>
        <w:rPr>
          <w:rFonts w:ascii="Tahoma" w:hAnsi="Tahoma" w:cs="Tahoma"/>
          <w:b/>
          <w:b/>
          <w:szCs w:val="28"/>
          <w:lang w:val="sr-RS"/>
        </w:rPr>
      </w:pPr>
      <w:r>
        <w:rPr>
          <w:rFonts w:cs="Tahoma" w:ascii="Tahoma" w:hAnsi="Tahoma"/>
          <w:b/>
          <w:szCs w:val="28"/>
          <w:lang w:val="sr-RS"/>
        </w:rPr>
        <w:t xml:space="preserve"> </w:t>
      </w:r>
      <w:bookmarkStart w:id="34" w:name="_Toc188876960"/>
      <w:r>
        <w:rPr>
          <w:rFonts w:cs="Tahoma" w:ascii="Tahoma" w:hAnsi="Tahoma"/>
          <w:b/>
          <w:szCs w:val="28"/>
          <w:lang w:val="sr-RS"/>
        </w:rPr>
        <w:t>Акциони план</w:t>
      </w:r>
      <w:bookmarkEnd w:id="34"/>
    </w:p>
    <w:p>
      <w:pPr>
        <w:pStyle w:val="Normal"/>
        <w:rPr>
          <w:rFonts w:ascii="Tahoma" w:hAnsi="Tahoma" w:eastAsia="Times New Roman" w:cs="Tahoma"/>
          <w:bCs/>
          <w:sz w:val="20"/>
          <w:szCs w:val="20"/>
          <w:lang w:val="sr-RS" w:eastAsia="sr-Latn-RS"/>
        </w:rPr>
      </w:pPr>
      <w:r>
        <w:rPr>
          <w:rFonts w:eastAsia="Times New Roman" w:cs="Tahoma" w:ascii="Tahoma" w:hAnsi="Tahoma"/>
          <w:bCs/>
          <w:sz w:val="20"/>
          <w:szCs w:val="20"/>
          <w:lang w:val="sr-RS" w:eastAsia="sr-Latn-RS"/>
        </w:rPr>
        <w:t xml:space="preserve">Акциони план за имплементацију Програма унапређења социјалне заштите у општини Беочин израђен је за први трогодишњи период односно за период од 2025 до 2027. године. </w:t>
      </w:r>
    </w:p>
    <w:tbl>
      <w:tblPr>
        <w:tblStyle w:val="TableGrid"/>
        <w:tblW w:w="14312" w:type="dxa"/>
        <w:jc w:val="start"/>
        <w:tblInd w:w="-714" w:type="dxa"/>
        <w:tblLayout w:type="fixed"/>
        <w:tblCellMar>
          <w:top w:w="0" w:type="dxa"/>
          <w:start w:w="108" w:type="dxa"/>
          <w:bottom w:w="0" w:type="dxa"/>
          <w:end w:w="108" w:type="dxa"/>
        </w:tblCellMar>
        <w:tblLook w:firstRow="1" w:noVBand="1" w:lastRow="0" w:firstColumn="1" w:lastColumn="0" w:noHBand="0" w:val="04a0"/>
      </w:tblPr>
      <w:tblGrid>
        <w:gridCol w:w="4047"/>
        <w:gridCol w:w="1491"/>
        <w:gridCol w:w="1457"/>
        <w:gridCol w:w="1510"/>
        <w:gridCol w:w="1696"/>
        <w:gridCol w:w="1985"/>
        <w:gridCol w:w="2125"/>
      </w:tblGrid>
      <w:tr>
        <w:trPr/>
        <w:tc>
          <w:tcPr>
            <w:tcW w:w="14311" w:type="dxa"/>
            <w:gridSpan w:val="7"/>
            <w:tcBorders/>
            <w:shd w:color="auto" w:fill="B4C6E7" w:themeFill="accent1" w:themeFillTint="66" w:val="clear"/>
          </w:tcPr>
          <w:p>
            <w:pPr>
              <w:pStyle w:val="Normal"/>
              <w:widowControl w:val="false"/>
              <w:suppressAutoHyphens w:val="true"/>
              <w:spacing w:lineRule="auto" w:line="240" w:before="0" w:after="0"/>
              <w:jc w:val="start"/>
              <w:rPr>
                <w:rFonts w:ascii="Tahoma" w:hAnsi="Tahoma" w:cs="Tahoma"/>
                <w:b/>
                <w:b/>
                <w:sz w:val="18"/>
                <w:szCs w:val="20"/>
                <w:lang w:val="sr-RS"/>
              </w:rPr>
            </w:pPr>
            <w:r>
              <w:rPr>
                <w:rFonts w:eastAsia="Calibri" w:cs="Tahoma" w:ascii="Tahoma" w:hAnsi="Tahoma"/>
                <w:b/>
                <w:kern w:val="2"/>
                <w:sz w:val="18"/>
                <w:szCs w:val="20"/>
                <w:lang w:val="sr-RS" w:eastAsia="en-US" w:bidi="ar-SA"/>
              </w:rPr>
              <w:t xml:space="preserve">ОПШТИ ЦИЉ: </w:t>
            </w:r>
            <w:r>
              <w:rPr>
                <w:rFonts w:eastAsia="Times New Roman" w:cs="Tahoma" w:ascii="Tahoma" w:hAnsi="Tahoma"/>
                <w:b/>
                <w:bCs/>
                <w:kern w:val="2"/>
                <w:sz w:val="20"/>
                <w:szCs w:val="20"/>
                <w:lang w:val="sr-RS" w:eastAsia="sr-Latn-RS" w:bidi="ar-SA"/>
              </w:rPr>
              <w:t>Развој одрживог и доступног система социјалне заштите у општини Беочин, који подржава социјалну инклузију и побољшање квалитета живота свих грађана.</w:t>
            </w:r>
          </w:p>
        </w:tc>
      </w:tr>
      <w:tr>
        <w:trPr/>
        <w:tc>
          <w:tcPr>
            <w:tcW w:w="4047" w:type="dxa"/>
            <w:tcBorders/>
            <w:shd w:color="auto" w:fill="D9E2F3" w:themeFill="accent1" w:themeFillTint="33" w:val="clear"/>
            <w:vAlign w:val="center"/>
          </w:tcPr>
          <w:p>
            <w:pPr>
              <w:pStyle w:val="Normal"/>
              <w:widowControl w:val="false"/>
              <w:suppressAutoHyphens w:val="true"/>
              <w:spacing w:lineRule="auto" w:line="240" w:before="60" w:after="60"/>
              <w:jc w:val="start"/>
              <w:rPr>
                <w:rFonts w:ascii="Tahoma" w:hAnsi="Tahoma" w:cs="Tahoma"/>
                <w:sz w:val="18"/>
                <w:szCs w:val="20"/>
                <w:lang w:val="sr-RS"/>
              </w:rPr>
            </w:pPr>
            <w:r>
              <w:rPr>
                <w:rFonts w:eastAsia="Calibri" w:cs="Tahoma" w:ascii="Tahoma" w:hAnsi="Tahoma"/>
                <w:b/>
                <w:kern w:val="2"/>
                <w:sz w:val="18"/>
                <w:szCs w:val="20"/>
                <w:lang w:val="sr-RS" w:eastAsia="en-US" w:bidi="ar-SA"/>
              </w:rPr>
              <w:t xml:space="preserve">Показатељ(и) на нивоу </w:t>
            </w:r>
            <w:r>
              <w:rPr>
                <w:rFonts w:eastAsia="Calibri" w:cs="Tahoma" w:ascii="Tahoma" w:hAnsi="Tahoma"/>
                <w:b/>
                <w:kern w:val="2"/>
                <w:sz w:val="18"/>
                <w:szCs w:val="20"/>
                <w:lang w:val="en-US" w:eastAsia="en-US" w:bidi="ar-SA"/>
              </w:rPr>
              <w:t>o</w:t>
            </w:r>
            <w:r>
              <w:rPr>
                <w:rFonts w:eastAsia="Calibri" w:cs="Tahoma" w:ascii="Tahoma" w:hAnsi="Tahoma"/>
                <w:b/>
                <w:kern w:val="2"/>
                <w:sz w:val="18"/>
                <w:szCs w:val="20"/>
                <w:lang w:val="sr-RS" w:eastAsia="en-US" w:bidi="ar-SA"/>
              </w:rPr>
              <w:t>пштег циља</w:t>
            </w:r>
          </w:p>
        </w:tc>
        <w:tc>
          <w:tcPr>
            <w:tcW w:w="1491"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Jединица мере</w:t>
            </w:r>
          </w:p>
        </w:tc>
        <w:tc>
          <w:tcPr>
            <w:tcW w:w="1457"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Извор провере</w:t>
            </w:r>
          </w:p>
        </w:tc>
        <w:tc>
          <w:tcPr>
            <w:tcW w:w="151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Почетна вредност са базном годином</w:t>
            </w:r>
          </w:p>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169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2025</w:t>
            </w:r>
          </w:p>
        </w:tc>
        <w:tc>
          <w:tcPr>
            <w:tcW w:w="1985"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2026</w:t>
            </w:r>
          </w:p>
        </w:tc>
        <w:tc>
          <w:tcPr>
            <w:tcW w:w="2125"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2027</w:t>
            </w:r>
          </w:p>
        </w:tc>
      </w:tr>
      <w:tr>
        <w:trPr/>
        <w:tc>
          <w:tcPr>
            <w:tcW w:w="4047" w:type="dxa"/>
            <w:tcBorders/>
            <w:vAlign w:val="center"/>
          </w:tcPr>
          <w:p>
            <w:pPr>
              <w:pStyle w:val="Normal"/>
              <w:widowControl w:val="false"/>
              <w:suppressAutoHyphens w:val="true"/>
              <w:spacing w:lineRule="auto" w:line="276" w:before="0" w:after="1"/>
              <w:jc w:val="start"/>
              <w:rPr>
                <w:rFonts w:ascii="Tahoma" w:hAnsi="Tahoma" w:cs="Tahoma"/>
                <w:i/>
                <w:i/>
                <w:sz w:val="18"/>
              </w:rPr>
            </w:pPr>
            <w:r>
              <w:rPr>
                <w:rFonts w:eastAsia="Calibri" w:cs="Tahoma" w:ascii="Tahoma" w:hAnsi="Tahoma"/>
                <w:kern w:val="2"/>
                <w:sz w:val="18"/>
                <w:szCs w:val="22"/>
                <w:lang w:val="en-US" w:eastAsia="en-US" w:bidi="ar-SA"/>
              </w:rPr>
              <w:t xml:space="preserve">Удео становника обухваћених системима социјалне заштите у општини Беочин  </w:t>
            </w:r>
            <w:r>
              <w:rPr>
                <w:rFonts w:eastAsia="Calibri" w:cs="Tahoma" w:ascii="Tahoma" w:hAnsi="Tahoma"/>
                <w:i/>
                <w:kern w:val="2"/>
                <w:sz w:val="18"/>
                <w:szCs w:val="22"/>
                <w:lang w:val="en-US" w:eastAsia="en-US" w:bidi="ar-SA"/>
              </w:rPr>
              <w:t>(веза са Приоритетним циљем 7 Плана развоја општине)</w:t>
            </w:r>
          </w:p>
          <w:p>
            <w:pPr>
              <w:pStyle w:val="Normal"/>
              <w:widowControl w:val="false"/>
              <w:suppressAutoHyphens w:val="true"/>
              <w:spacing w:lineRule="auto" w:line="276" w:before="60" w:after="1"/>
              <w:jc w:val="start"/>
              <w:rPr>
                <w:rFonts w:ascii="Tahoma" w:hAnsi="Tahoma" w:cs="Tahoma"/>
                <w:sz w:val="18"/>
              </w:rPr>
            </w:pPr>
            <w:r>
              <w:rPr>
                <w:rFonts w:cs="Tahoma" w:ascii="Tahoma" w:hAnsi="Tahoma"/>
                <w:sz w:val="18"/>
              </w:rPr>
            </w:r>
          </w:p>
        </w:tc>
        <w:tc>
          <w:tcPr>
            <w:tcW w:w="1491"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w:t>
            </w:r>
          </w:p>
        </w:tc>
        <w:tc>
          <w:tcPr>
            <w:tcW w:w="1457"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2"/>
                <w:lang w:val="en-US" w:eastAsia="en-US" w:bidi="ar-SA"/>
              </w:rPr>
              <w:t>(Извор: Аналитички сервис ЈЛС, 2022.)</w:t>
            </w:r>
          </w:p>
        </w:tc>
        <w:tc>
          <w:tcPr>
            <w:tcW w:w="1510" w:type="dxa"/>
            <w:tcBorders/>
            <w:vAlign w:val="center"/>
          </w:tcPr>
          <w:p>
            <w:pPr>
              <w:pStyle w:val="Normal"/>
              <w:widowControl w:val="false"/>
              <w:suppressAutoHyphens w:val="true"/>
              <w:spacing w:lineRule="auto" w:line="240" w:before="60" w:after="60"/>
              <w:jc w:val="center"/>
              <w:rPr>
                <w:rFonts w:ascii="Tahoma" w:hAnsi="Tahoma" w:eastAsia="Calibri" w:cs="Tahoma"/>
                <w:sz w:val="18"/>
              </w:rPr>
            </w:pPr>
            <w:r>
              <w:rPr>
                <w:rFonts w:eastAsia="Calibri" w:cs="Tahoma" w:ascii="Tahoma" w:hAnsi="Tahoma"/>
                <w:kern w:val="2"/>
                <w:sz w:val="18"/>
                <w:szCs w:val="22"/>
                <w:lang w:val="en-US" w:eastAsia="en-US" w:bidi="ar-SA"/>
              </w:rPr>
              <w:t xml:space="preserve"> </w:t>
            </w:r>
            <w:r>
              <w:rPr>
                <w:rFonts w:eastAsia="Calibri" w:cs="Tahoma" w:ascii="Tahoma" w:hAnsi="Tahoma"/>
                <w:kern w:val="2"/>
                <w:sz w:val="18"/>
                <w:szCs w:val="22"/>
                <w:lang w:val="en-US" w:eastAsia="en-US" w:bidi="ar-SA"/>
              </w:rPr>
              <w:t>11.9 %</w:t>
            </w:r>
          </w:p>
          <w:p>
            <w:pPr>
              <w:pStyle w:val="Normal"/>
              <w:widowControl w:val="false"/>
              <w:suppressAutoHyphens w:val="true"/>
              <w:spacing w:lineRule="auto" w:line="240" w:before="60" w:after="60"/>
              <w:jc w:val="center"/>
              <w:rPr>
                <w:rFonts w:ascii="Tahoma" w:hAnsi="Tahoma" w:cs="Tahoma"/>
                <w:sz w:val="18"/>
                <w:szCs w:val="20"/>
                <w:lang w:val="sr-RS"/>
              </w:rPr>
            </w:pPr>
            <w:r>
              <w:rPr>
                <w:rFonts w:eastAsia="Calibri" w:cs="Tahoma" w:ascii="Tahoma" w:hAnsi="Tahoma"/>
                <w:kern w:val="2"/>
                <w:sz w:val="18"/>
                <w:szCs w:val="22"/>
                <w:lang w:val="sr-RS" w:eastAsia="en-US" w:bidi="ar-SA"/>
              </w:rPr>
              <w:t>(2022)</w:t>
            </w:r>
          </w:p>
        </w:tc>
        <w:tc>
          <w:tcPr>
            <w:tcW w:w="169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12,5%</w:t>
            </w:r>
          </w:p>
        </w:tc>
        <w:tc>
          <w:tcPr>
            <w:tcW w:w="1985"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13,5%</w:t>
            </w:r>
          </w:p>
        </w:tc>
        <w:tc>
          <w:tcPr>
            <w:tcW w:w="2125"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14,5%</w:t>
            </w:r>
          </w:p>
        </w:tc>
      </w:tr>
      <w:tr>
        <w:trPr/>
        <w:tc>
          <w:tcPr>
            <w:tcW w:w="4047" w:type="dxa"/>
            <w:tcBorders/>
            <w:vAlign w:val="center"/>
          </w:tcPr>
          <w:p>
            <w:pPr>
              <w:pStyle w:val="Normal"/>
              <w:widowControl w:val="false"/>
              <w:suppressAutoHyphens w:val="true"/>
              <w:spacing w:lineRule="auto" w:line="276" w:before="0" w:after="1"/>
              <w:jc w:val="start"/>
              <w:rPr>
                <w:rFonts w:ascii="Calibri" w:hAnsi="Calibri" w:eastAsia="Calibri" w:cs="Arial"/>
                <w:kern w:val="2"/>
                <w:sz w:val="22"/>
                <w:szCs w:val="22"/>
                <w:lang w:val="en-US" w:eastAsia="en-US" w:bidi="ar-SA"/>
              </w:rPr>
            </w:pPr>
            <w:r>
              <w:rPr>
                <w:rFonts w:eastAsia="Calibri" w:cs="Tahoma" w:ascii="Tahoma" w:hAnsi="Tahoma"/>
                <w:kern w:val="2"/>
                <w:sz w:val="18"/>
                <w:szCs w:val="22"/>
                <w:lang w:val="en-US" w:eastAsia="en-US" w:bidi="ar-SA"/>
              </w:rPr>
              <w:t>Број локалних услуга социјалне заштите које се пружају у општини</w:t>
            </w:r>
            <w:r>
              <w:rPr>
                <w:rFonts w:eastAsia="Calibri" w:cs="Tahoma" w:ascii="Tahoma" w:hAnsi="Tahoma"/>
                <w:kern w:val="2"/>
                <w:sz w:val="18"/>
                <w:szCs w:val="22"/>
                <w:lang w:val="sr-Latn-RS" w:eastAsia="en-US" w:bidi="ar-SA"/>
              </w:rPr>
              <w:t xml:space="preserve"> </w:t>
            </w:r>
            <w:r>
              <w:rPr>
                <w:rFonts w:eastAsia="Calibri" w:cs="Tahoma" w:ascii="Tahoma" w:hAnsi="Tahoma"/>
                <w:kern w:val="2"/>
                <w:sz w:val="18"/>
                <w:szCs w:val="22"/>
                <w:lang w:val="en-US" w:eastAsia="en-US" w:bidi="ar-SA"/>
              </w:rPr>
              <w:t>Беочин</w:t>
            </w:r>
          </w:p>
        </w:tc>
        <w:tc>
          <w:tcPr>
            <w:tcW w:w="1491" w:type="dxa"/>
            <w:tcBorders/>
            <w:vAlign w:val="center"/>
          </w:tcPr>
          <w:p>
            <w:pPr>
              <w:pStyle w:val="Normal"/>
              <w:widowControl w:val="false"/>
              <w:suppressAutoHyphens w:val="true"/>
              <w:spacing w:lineRule="auto" w:line="240" w:before="60" w:after="60"/>
              <w:jc w:val="center"/>
              <w:rPr>
                <w:lang w:val="sr-RS"/>
              </w:rPr>
            </w:pPr>
            <w:r>
              <w:rPr>
                <w:rFonts w:eastAsia="Calibri" w:cs="Tahoma" w:ascii="Tahoma" w:hAnsi="Tahoma"/>
                <w:kern w:val="2"/>
                <w:sz w:val="18"/>
                <w:szCs w:val="20"/>
                <w:lang w:val="sr-RS" w:eastAsia="en-US" w:bidi="ar-SA"/>
              </w:rPr>
              <w:t>Број</w:t>
            </w:r>
          </w:p>
        </w:tc>
        <w:tc>
          <w:tcPr>
            <w:tcW w:w="1457" w:type="dxa"/>
            <w:tcBorders/>
            <w:vAlign w:val="center"/>
          </w:tcPr>
          <w:p>
            <w:pPr>
              <w:pStyle w:val="Normal"/>
              <w:widowControl w:val="false"/>
              <w:suppressAutoHyphens w:val="true"/>
              <w:spacing w:lineRule="auto" w:line="240" w:before="60" w:after="60"/>
              <w:jc w:val="center"/>
              <w:rPr>
                <w:lang w:val="sr-RS"/>
              </w:rPr>
            </w:pPr>
            <w:r>
              <w:rPr>
                <w:rFonts w:eastAsia="Calibri" w:cs="Tahoma" w:ascii="Tahoma" w:hAnsi="Tahoma"/>
                <w:kern w:val="2"/>
                <w:sz w:val="18"/>
                <w:szCs w:val="22"/>
                <w:lang w:val="sr-RS" w:eastAsia="en-US" w:bidi="ar-SA"/>
              </w:rPr>
              <w:t>(Извор: Извештај о извршењу буџета општине, 2023.)</w:t>
            </w:r>
          </w:p>
        </w:tc>
        <w:tc>
          <w:tcPr>
            <w:tcW w:w="1510" w:type="dxa"/>
            <w:tcBorders/>
            <w:vAlign w:val="center"/>
          </w:tcPr>
          <w:p>
            <w:pPr>
              <w:pStyle w:val="Normal"/>
              <w:widowControl w:val="false"/>
              <w:suppressAutoHyphens w:val="true"/>
              <w:spacing w:lineRule="auto" w:line="240" w:before="60" w:after="60"/>
              <w:jc w:val="center"/>
              <w:rPr>
                <w:lang w:val="sr-RS"/>
              </w:rPr>
            </w:pPr>
            <w:r>
              <w:rPr>
                <w:rFonts w:eastAsia="Calibri" w:cs="Arial"/>
                <w:kern w:val="2"/>
                <w:sz w:val="22"/>
                <w:szCs w:val="22"/>
                <w:lang w:val="sr-RS" w:eastAsia="en-US" w:bidi="ar-SA"/>
              </w:rPr>
              <w:t>1</w:t>
            </w:r>
          </w:p>
          <w:p>
            <w:pPr>
              <w:pStyle w:val="Normal"/>
              <w:widowControl w:val="false"/>
              <w:suppressAutoHyphens w:val="true"/>
              <w:spacing w:lineRule="auto" w:line="240" w:before="60" w:after="60"/>
              <w:jc w:val="center"/>
              <w:rPr>
                <w:lang w:val="sr-RS"/>
              </w:rPr>
            </w:pPr>
            <w:r>
              <w:rPr>
                <w:rFonts w:eastAsia="Calibri" w:cs="Arial"/>
                <w:kern w:val="2"/>
                <w:sz w:val="22"/>
                <w:szCs w:val="22"/>
                <w:lang w:val="sr-RS" w:eastAsia="en-US" w:bidi="ar-SA"/>
              </w:rPr>
              <w:t>(2024)</w:t>
            </w:r>
          </w:p>
        </w:tc>
        <w:tc>
          <w:tcPr>
            <w:tcW w:w="169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(ПУК и ЛПД)</w:t>
            </w:r>
          </w:p>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0" w:after="21"/>
              <w:jc w:val="start"/>
              <w:rPr>
                <w:rFonts w:ascii="Tahoma" w:hAnsi="Tahoma" w:cs="Tahoma"/>
                <w:sz w:val="18"/>
                <w:szCs w:val="20"/>
              </w:rPr>
            </w:pPr>
            <w:r>
              <w:rPr>
                <w:rFonts w:cs="Tahoma" w:ascii="Tahoma" w:hAnsi="Tahoma"/>
                <w:sz w:val="18"/>
                <w:szCs w:val="20"/>
              </w:rPr>
            </w:r>
          </w:p>
        </w:tc>
        <w:tc>
          <w:tcPr>
            <w:tcW w:w="1985"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(ПУК и ЛПД)</w:t>
            </w:r>
          </w:p>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0" w:after="21"/>
              <w:jc w:val="start"/>
              <w:rPr>
                <w:rFonts w:ascii="Tahoma" w:hAnsi="Tahoma" w:cs="Tahoma"/>
                <w:sz w:val="18"/>
                <w:szCs w:val="20"/>
              </w:rPr>
            </w:pPr>
            <w:r>
              <w:rPr>
                <w:rFonts w:cs="Tahoma" w:ascii="Tahoma" w:hAnsi="Tahoma"/>
                <w:sz w:val="18"/>
                <w:szCs w:val="20"/>
              </w:rPr>
            </w:r>
          </w:p>
        </w:tc>
        <w:tc>
          <w:tcPr>
            <w:tcW w:w="2125"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(ПУК и ЛПД)</w:t>
            </w:r>
          </w:p>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r>
    </w:tbl>
    <w:p>
      <w:pPr>
        <w:pStyle w:val="Normal"/>
        <w:rPr>
          <w:rFonts w:ascii="Tahoma" w:hAnsi="Tahoma" w:cs="Tahoma"/>
          <w:sz w:val="20"/>
        </w:rPr>
      </w:pPr>
      <w:r>
        <w:rPr>
          <w:rFonts w:cs="Tahoma" w:ascii="Tahoma" w:hAnsi="Tahoma"/>
          <w:sz w:val="20"/>
        </w:rPr>
      </w:r>
    </w:p>
    <w:tbl>
      <w:tblPr>
        <w:tblStyle w:val="TableGrid"/>
        <w:tblW w:w="14312" w:type="dxa"/>
        <w:jc w:val="start"/>
        <w:tblInd w:w="-714" w:type="dxa"/>
        <w:tblLayout w:type="fixed"/>
        <w:tblCellMar>
          <w:top w:w="0" w:type="dxa"/>
          <w:start w:w="108" w:type="dxa"/>
          <w:bottom w:w="0" w:type="dxa"/>
          <w:end w:w="108" w:type="dxa"/>
        </w:tblCellMar>
        <w:tblLook w:firstRow="1" w:noVBand="1" w:lastRow="0" w:firstColumn="1" w:lastColumn="0" w:noHBand="0" w:val="04a0"/>
      </w:tblPr>
      <w:tblGrid>
        <w:gridCol w:w="4130"/>
        <w:gridCol w:w="1484"/>
        <w:gridCol w:w="1444"/>
        <w:gridCol w:w="1473"/>
        <w:gridCol w:w="1670"/>
        <w:gridCol w:w="1985"/>
        <w:gridCol w:w="2125"/>
      </w:tblGrid>
      <w:tr>
        <w:trPr/>
        <w:tc>
          <w:tcPr>
            <w:tcW w:w="14311" w:type="dxa"/>
            <w:gridSpan w:val="7"/>
            <w:tcBorders/>
            <w:shd w:color="auto" w:fill="C9C9C9" w:themeFill="accent3" w:themeFillTint="99" w:val="clear"/>
          </w:tcPr>
          <w:p>
            <w:pPr>
              <w:pStyle w:val="Normal"/>
              <w:widowControl w:val="false"/>
              <w:suppressAutoHyphens w:val="true"/>
              <w:spacing w:lineRule="auto" w:line="240" w:before="0" w:after="0"/>
              <w:jc w:val="start"/>
              <w:rPr>
                <w:rFonts w:ascii="Tahoma" w:hAnsi="Tahoma" w:cs="Tahoma"/>
                <w:b/>
                <w:b/>
                <w:sz w:val="18"/>
                <w:szCs w:val="20"/>
              </w:rPr>
            </w:pPr>
            <w:r>
              <w:rPr>
                <w:rFonts w:eastAsia="Calibri" w:cs="Tahoma" w:ascii="Tahoma" w:hAnsi="Tahoma"/>
                <w:b/>
                <w:kern w:val="2"/>
                <w:sz w:val="18"/>
                <w:szCs w:val="20"/>
                <w:lang w:val="en-US" w:eastAsia="en-US" w:bidi="ar-SA"/>
              </w:rPr>
              <w:t>ПОСЕБНИ ЦИЉ 1</w:t>
            </w:r>
            <w:r>
              <w:rPr>
                <w:rFonts w:eastAsia="Calibri" w:cs="Tahoma" w:ascii="Tahoma" w:hAnsi="Tahoma"/>
                <w:b/>
                <w:kern w:val="2"/>
                <w:sz w:val="20"/>
                <w:szCs w:val="20"/>
                <w:lang w:val="en-US" w:eastAsia="en-US" w:bidi="ar-SA"/>
              </w:rPr>
              <w:t>:</w:t>
            </w:r>
            <w:r>
              <w:rPr>
                <w:rFonts w:eastAsia="Calibri" w:cs="Tahoma" w:ascii="Tahoma" w:hAnsi="Tahoma"/>
                <w:b/>
                <w:kern w:val="2"/>
                <w:sz w:val="24"/>
                <w:szCs w:val="22"/>
                <w:lang w:val="en-US" w:eastAsia="en-US" w:bidi="ar-SA"/>
              </w:rPr>
              <w:t xml:space="preserve"> </w:t>
            </w:r>
            <w:r>
              <w:rPr>
                <w:rFonts w:eastAsia="Times New Roman" w:cs="Tahoma" w:ascii="Tahoma" w:hAnsi="Tahoma"/>
                <w:b/>
                <w:bCs/>
                <w:kern w:val="2"/>
                <w:sz w:val="20"/>
                <w:szCs w:val="20"/>
                <w:lang w:val="en-US" w:eastAsia="sr-Latn-RS" w:bidi="ar-SA"/>
              </w:rPr>
              <w:t>Развој институционалних капацитета и сарадње за унапређење система социјалне заштите</w:t>
            </w:r>
          </w:p>
        </w:tc>
      </w:tr>
      <w:tr>
        <w:trPr/>
        <w:tc>
          <w:tcPr>
            <w:tcW w:w="14311" w:type="dxa"/>
            <w:gridSpan w:val="7"/>
            <w:tcBorders/>
            <w:shd w:color="auto" w:fill="DBDBDB" w:themeFill="accent3"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Организациона јединица одговорна за спровођење (координисање спровођења) посебног циља: Општинска управа</w:t>
            </w:r>
          </w:p>
        </w:tc>
      </w:tr>
      <w:tr>
        <w:trPr/>
        <w:tc>
          <w:tcPr>
            <w:tcW w:w="4130" w:type="dxa"/>
            <w:tcBorders/>
            <w:shd w:color="auto" w:fill="D9E2F3" w:themeFill="accent1" w:themeFillTint="33" w:val="clear"/>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b/>
                <w:kern w:val="2"/>
                <w:sz w:val="18"/>
                <w:szCs w:val="20"/>
                <w:lang w:val="en-US" w:eastAsia="en-US" w:bidi="ar-SA"/>
              </w:rPr>
              <w:t>Показатељ(и) на нивоу посебног циља</w:t>
            </w:r>
          </w:p>
        </w:tc>
        <w:tc>
          <w:tcPr>
            <w:tcW w:w="1484"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Jединица мере</w:t>
            </w:r>
          </w:p>
        </w:tc>
        <w:tc>
          <w:tcPr>
            <w:tcW w:w="1444"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Извор провере</w:t>
            </w:r>
          </w:p>
        </w:tc>
        <w:tc>
          <w:tcPr>
            <w:tcW w:w="1473"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Почетна вредност са базном годином</w:t>
            </w:r>
          </w:p>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2023</w:t>
            </w:r>
          </w:p>
        </w:tc>
        <w:tc>
          <w:tcPr>
            <w:tcW w:w="167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2025</w:t>
            </w:r>
          </w:p>
        </w:tc>
        <w:tc>
          <w:tcPr>
            <w:tcW w:w="1985"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2026</w:t>
            </w:r>
          </w:p>
        </w:tc>
        <w:tc>
          <w:tcPr>
            <w:tcW w:w="2125"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2027</w:t>
            </w:r>
          </w:p>
        </w:tc>
      </w:tr>
      <w:tr>
        <w:trPr/>
        <w:tc>
          <w:tcPr>
            <w:tcW w:w="4130" w:type="dxa"/>
            <w:tcBorders/>
            <w:vAlign w:val="cente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Број нових механизама за унапређење социјалне заштите у општини Беочин</w:t>
            </w:r>
          </w:p>
        </w:tc>
        <w:tc>
          <w:tcPr>
            <w:tcW w:w="148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број</w:t>
            </w:r>
          </w:p>
        </w:tc>
        <w:tc>
          <w:tcPr>
            <w:tcW w:w="144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Одлука скупштине о оснивању  савета за социјалну политику</w:t>
            </w:r>
          </w:p>
        </w:tc>
        <w:tc>
          <w:tcPr>
            <w:tcW w:w="1473"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color w:val="000000"/>
                <w:kern w:val="2"/>
                <w:sz w:val="18"/>
                <w:szCs w:val="20"/>
                <w:lang w:val="en-US" w:eastAsia="en-US" w:bidi="ar-SA"/>
              </w:rPr>
              <w:t>0</w:t>
            </w:r>
          </w:p>
        </w:tc>
        <w:tc>
          <w:tcPr>
            <w:tcW w:w="1670"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color w:val="000000"/>
                <w:kern w:val="2"/>
                <w:sz w:val="18"/>
                <w:szCs w:val="20"/>
                <w:lang w:val="en-US" w:eastAsia="en-US" w:bidi="ar-SA"/>
              </w:rPr>
              <w:t>1</w:t>
            </w:r>
          </w:p>
        </w:tc>
        <w:tc>
          <w:tcPr>
            <w:tcW w:w="1985"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color w:val="000000"/>
                <w:kern w:val="2"/>
                <w:sz w:val="18"/>
                <w:szCs w:val="20"/>
                <w:lang w:val="en-US" w:eastAsia="en-US" w:bidi="ar-SA"/>
              </w:rPr>
              <w:t>0</w:t>
            </w:r>
          </w:p>
        </w:tc>
        <w:tc>
          <w:tcPr>
            <w:tcW w:w="2125"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color w:val="000000"/>
                <w:kern w:val="2"/>
                <w:sz w:val="18"/>
                <w:szCs w:val="20"/>
                <w:lang w:val="en-US" w:eastAsia="en-US" w:bidi="ar-SA"/>
              </w:rPr>
              <w:t>0</w:t>
            </w:r>
          </w:p>
        </w:tc>
      </w:tr>
      <w:tr>
        <w:trPr/>
        <w:tc>
          <w:tcPr>
            <w:tcW w:w="4130" w:type="dxa"/>
            <w:tcBorders/>
            <w:vAlign w:val="cente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Примењују се нове стандардизоване процедуре и алати за праћење квалитета услуга и евалуацију задовољства корисника</w:t>
            </w:r>
          </w:p>
        </w:tc>
        <w:tc>
          <w:tcPr>
            <w:tcW w:w="148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Да/Не</w:t>
            </w:r>
          </w:p>
        </w:tc>
        <w:tc>
          <w:tcPr>
            <w:tcW w:w="144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Извештаји Општинске управе</w:t>
            </w:r>
          </w:p>
        </w:tc>
        <w:tc>
          <w:tcPr>
            <w:tcW w:w="1473"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Не</w:t>
            </w:r>
          </w:p>
        </w:tc>
        <w:tc>
          <w:tcPr>
            <w:tcW w:w="1670"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Да</w:t>
            </w:r>
          </w:p>
        </w:tc>
        <w:tc>
          <w:tcPr>
            <w:tcW w:w="1985" w:type="dxa"/>
            <w:tcBorders/>
          </w:tcPr>
          <w:p>
            <w:pPr>
              <w:pStyle w:val="Normal"/>
              <w:widowControl w:val="false"/>
              <w:suppressAutoHyphens w:val="true"/>
              <w:spacing w:lineRule="auto" w:line="240" w:before="0" w:after="0"/>
              <w:jc w:val="center"/>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0" w:after="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Да</w:t>
            </w:r>
          </w:p>
        </w:tc>
        <w:tc>
          <w:tcPr>
            <w:tcW w:w="2125" w:type="dxa"/>
            <w:tcBorders/>
          </w:tcPr>
          <w:p>
            <w:pPr>
              <w:pStyle w:val="Normal"/>
              <w:widowControl w:val="false"/>
              <w:suppressAutoHyphens w:val="true"/>
              <w:spacing w:lineRule="auto" w:line="240" w:before="0" w:after="0"/>
              <w:jc w:val="center"/>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0" w:after="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Да</w:t>
            </w:r>
          </w:p>
        </w:tc>
      </w:tr>
      <w:tr>
        <w:trPr/>
        <w:tc>
          <w:tcPr>
            <w:tcW w:w="4130" w:type="dxa"/>
            <w:tcBorders/>
            <w:vAlign w:val="cente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Број ЈЛС са којима је успостављена сарадња и размена добрих пракси у области социјалне заштите</w:t>
            </w:r>
          </w:p>
        </w:tc>
        <w:tc>
          <w:tcPr>
            <w:tcW w:w="148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Број</w:t>
            </w:r>
          </w:p>
        </w:tc>
        <w:tc>
          <w:tcPr>
            <w:tcW w:w="144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Извештаји Општинске управе</w:t>
            </w:r>
          </w:p>
        </w:tc>
        <w:tc>
          <w:tcPr>
            <w:tcW w:w="1473"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color w:val="000000"/>
                <w:kern w:val="2"/>
                <w:sz w:val="18"/>
                <w:szCs w:val="20"/>
                <w:lang w:val="en-US" w:eastAsia="en-US" w:bidi="ar-SA"/>
              </w:rPr>
              <w:t>1</w:t>
            </w:r>
          </w:p>
        </w:tc>
        <w:tc>
          <w:tcPr>
            <w:tcW w:w="1670"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color w:val="000000"/>
                <w:kern w:val="2"/>
                <w:sz w:val="18"/>
                <w:szCs w:val="20"/>
                <w:lang w:val="en-US" w:eastAsia="en-US" w:bidi="ar-SA"/>
              </w:rPr>
              <w:t>3</w:t>
            </w:r>
          </w:p>
        </w:tc>
        <w:tc>
          <w:tcPr>
            <w:tcW w:w="1985"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color w:val="000000"/>
                <w:kern w:val="2"/>
                <w:sz w:val="18"/>
                <w:szCs w:val="20"/>
                <w:lang w:val="en-US" w:eastAsia="en-US" w:bidi="ar-SA"/>
              </w:rPr>
              <w:t>3</w:t>
            </w:r>
          </w:p>
        </w:tc>
        <w:tc>
          <w:tcPr>
            <w:tcW w:w="2125"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color w:val="000000"/>
                <w:kern w:val="2"/>
                <w:sz w:val="18"/>
                <w:szCs w:val="20"/>
                <w:lang w:val="en-US" w:eastAsia="en-US" w:bidi="ar-SA"/>
              </w:rPr>
              <w:t>3</w:t>
            </w:r>
          </w:p>
        </w:tc>
      </w:tr>
    </w:tbl>
    <w:p>
      <w:pPr>
        <w:pStyle w:val="Normal"/>
        <w:rPr>
          <w:rFonts w:ascii="Tahoma" w:hAnsi="Tahoma" w:cs="Tahoma"/>
          <w:sz w:val="20"/>
        </w:rPr>
      </w:pPr>
      <w:r>
        <w:rPr>
          <w:rFonts w:cs="Tahoma" w:ascii="Tahoma" w:hAnsi="Tahoma"/>
          <w:sz w:val="20"/>
        </w:rPr>
      </w:r>
    </w:p>
    <w:tbl>
      <w:tblPr>
        <w:tblStyle w:val="TableGrid"/>
        <w:tblW w:w="14312"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3938"/>
        <w:gridCol w:w="1599"/>
        <w:gridCol w:w="734"/>
        <w:gridCol w:w="704"/>
        <w:gridCol w:w="1580"/>
        <w:gridCol w:w="1464"/>
        <w:gridCol w:w="1466"/>
        <w:gridCol w:w="2826"/>
      </w:tblGrid>
      <w:tr>
        <w:trPr/>
        <w:tc>
          <w:tcPr>
            <w:tcW w:w="14311" w:type="dxa"/>
            <w:gridSpan w:val="8"/>
            <w:tcBorders/>
            <w:shd w:color="auto" w:fill="A8D08D" w:themeFill="accent6" w:themeFillTint="99" w:val="clear"/>
          </w:tcPr>
          <w:p>
            <w:pPr>
              <w:pStyle w:val="Normal"/>
              <w:widowControl w:val="false"/>
              <w:suppressAutoHyphens w:val="true"/>
              <w:spacing w:lineRule="auto" w:line="240" w:before="0" w:after="0"/>
              <w:jc w:val="start"/>
              <w:rPr>
                <w:rFonts w:ascii="Tahoma" w:hAnsi="Tahoma" w:cs="Tahoma"/>
                <w:b/>
                <w:b/>
                <w:sz w:val="18"/>
                <w:szCs w:val="20"/>
              </w:rPr>
            </w:pPr>
            <w:r>
              <w:rPr>
                <w:rFonts w:eastAsia="Calibri" w:cs="Tahoma" w:ascii="Tahoma" w:hAnsi="Tahoma"/>
                <w:b/>
                <w:kern w:val="2"/>
                <w:sz w:val="18"/>
                <w:szCs w:val="20"/>
                <w:lang w:val="en-US" w:eastAsia="en-US" w:bidi="ar-SA"/>
              </w:rPr>
              <w:t xml:space="preserve">МЕРА 1.1: . </w:t>
            </w:r>
            <w:r>
              <w:rPr>
                <w:rFonts w:eastAsia="Times New Roman" w:cs="Tahoma" w:ascii="Tahoma" w:hAnsi="Tahoma"/>
                <w:b/>
                <w:kern w:val="2"/>
                <w:sz w:val="20"/>
                <w:szCs w:val="20"/>
                <w:lang w:val="en-US" w:eastAsia="sr-Latn-RS" w:bidi="ar-SA"/>
              </w:rPr>
              <w:t>Јачање кадровских и организационих капацитета општинске управе за спровођење политике унапређења социјалне заштите</w:t>
            </w:r>
          </w:p>
        </w:tc>
      </w:tr>
      <w:tr>
        <w:trPr/>
        <w:tc>
          <w:tcPr>
            <w:tcW w:w="3938" w:type="dxa"/>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Организациона јединица одговорна за спровођење (координисање спровођења) мере</w:t>
            </w:r>
          </w:p>
        </w:tc>
        <w:tc>
          <w:tcPr>
            <w:tcW w:w="2333"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Извор финансирања</w:t>
            </w:r>
          </w:p>
        </w:tc>
        <w:tc>
          <w:tcPr>
            <w:tcW w:w="2284"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bCs/>
                <w:sz w:val="18"/>
                <w:szCs w:val="20"/>
              </w:rPr>
            </w:pPr>
            <w:r>
              <w:rPr>
                <w:rFonts w:eastAsia="Calibri" w:cs="Tahoma" w:ascii="Tahoma" w:hAnsi="Tahoma"/>
                <w:b/>
                <w:bCs/>
                <w:kern w:val="2"/>
                <w:sz w:val="18"/>
                <w:szCs w:val="20"/>
                <w:lang w:val="en-US" w:eastAsia="en-US" w:bidi="ar-SA"/>
              </w:rPr>
              <w:t xml:space="preserve">Веза са програмским буџетом </w:t>
            </w:r>
            <w:r>
              <w:rPr>
                <w:rFonts w:eastAsia="Calibri" w:cs="Tahoma" w:ascii="Tahoma" w:hAnsi="Tahoma"/>
                <w:b/>
                <w:bCs/>
                <w:i/>
                <w:iCs/>
                <w:kern w:val="2"/>
                <w:sz w:val="18"/>
                <w:szCs w:val="20"/>
                <w:lang w:val="en-US" w:eastAsia="en-US" w:bidi="ar-SA"/>
              </w:rPr>
              <w:t>(шифра ПР/ПА/ПЈ)</w:t>
            </w:r>
          </w:p>
        </w:tc>
        <w:tc>
          <w:tcPr>
            <w:tcW w:w="5756" w:type="dxa"/>
            <w:gridSpan w:val="3"/>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Укупно процењена финансијска средства по изворима финансирања у 000 РСД</w:t>
            </w:r>
            <w:r>
              <w:rPr>
                <w:rStyle w:val="FootnoteAnchor"/>
                <w:rFonts w:eastAsia="Calibri" w:cs="Tahoma" w:ascii="Tahoma" w:hAnsi="Tahoma"/>
                <w:b/>
                <w:kern w:val="2"/>
                <w:sz w:val="18"/>
                <w:szCs w:val="22"/>
                <w:lang w:val="en-US" w:eastAsia="en-US" w:bidi="ar-SA"/>
              </w:rPr>
              <w:footnoteReference w:id="73"/>
            </w:r>
          </w:p>
        </w:tc>
      </w:tr>
      <w:tr>
        <w:trPr/>
        <w:tc>
          <w:tcPr>
            <w:tcW w:w="3938" w:type="dxa"/>
            <w:vMerge w:val="continue"/>
            <w:tcBorders/>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2333"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2284"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w:t>
            </w:r>
          </w:p>
        </w:tc>
        <w:tc>
          <w:tcPr>
            <w:tcW w:w="146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w:t>
            </w:r>
          </w:p>
        </w:tc>
        <w:tc>
          <w:tcPr>
            <w:tcW w:w="282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w:t>
            </w:r>
          </w:p>
        </w:tc>
      </w:tr>
      <w:tr>
        <w:trPr/>
        <w:tc>
          <w:tcPr>
            <w:tcW w:w="3938" w:type="dxa"/>
            <w:vMerge w:val="restart"/>
            <w:tcBorders/>
            <w:shd w:color="auto" w:fill="auto" w:val="clea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bCs/>
                <w:kern w:val="2"/>
                <w:sz w:val="18"/>
                <w:szCs w:val="20"/>
                <w:lang w:val="en-US" w:eastAsia="en-US" w:bidi="ar-SA"/>
              </w:rPr>
              <w:t>Скупштина општине</w:t>
            </w:r>
          </w:p>
        </w:tc>
        <w:tc>
          <w:tcPr>
            <w:tcW w:w="2333" w:type="dxa"/>
            <w:gridSpan w:val="2"/>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2284" w:type="dxa"/>
            <w:gridSpan w:val="2"/>
            <w:vMerge w:val="restart"/>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2101-0001</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c>
          <w:tcPr>
            <w:tcW w:w="282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r>
      <w:tr>
        <w:trPr/>
        <w:tc>
          <w:tcPr>
            <w:tcW w:w="3938" w:type="dxa"/>
            <w:vMerge w:val="continue"/>
            <w:tcBorders/>
            <w:shd w:color="auto" w:fill="auto" w:val="clear"/>
          </w:tcPr>
          <w:p>
            <w:pPr>
              <w:pStyle w:val="Normal"/>
              <w:widowControl w:val="false"/>
              <w:suppressAutoHyphens w:val="true"/>
              <w:spacing w:lineRule="auto" w:line="240" w:before="60" w:after="60"/>
              <w:jc w:val="start"/>
              <w:rPr>
                <w:rFonts w:ascii="Tahoma" w:hAnsi="Tahoma" w:cs="Tahoma"/>
                <w:bCs/>
                <w:sz w:val="18"/>
                <w:szCs w:val="20"/>
              </w:rPr>
            </w:pPr>
            <w:r>
              <w:rPr>
                <w:rFonts w:cs="Tahoma" w:ascii="Tahoma" w:hAnsi="Tahoma"/>
                <w:bCs/>
                <w:sz w:val="18"/>
                <w:szCs w:val="20"/>
              </w:rPr>
            </w:r>
          </w:p>
        </w:tc>
        <w:tc>
          <w:tcPr>
            <w:tcW w:w="2333" w:type="dxa"/>
            <w:gridSpan w:val="2"/>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2284" w:type="dxa"/>
            <w:gridSpan w:val="2"/>
            <w:vMerge w:val="continue"/>
            <w:tcBorders/>
            <w:shd w:color="auto" w:fill="auto"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c>
          <w:tcPr>
            <w:tcW w:w="282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r>
      <w:tr>
        <w:trPr/>
        <w:tc>
          <w:tcPr>
            <w:tcW w:w="6271" w:type="dxa"/>
            <w:gridSpan w:val="3"/>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Период спровођења мере: 2025-2027</w:t>
            </w:r>
          </w:p>
        </w:tc>
        <w:tc>
          <w:tcPr>
            <w:tcW w:w="8040" w:type="dxa"/>
            <w:gridSpan w:val="5"/>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Тип мере</w:t>
            </w:r>
            <w:r>
              <w:rPr>
                <w:rStyle w:val="FootnoteAnchor"/>
                <w:rFonts w:eastAsia="Calibri" w:cs="Arial"/>
                <w:bCs/>
                <w:kern w:val="2"/>
                <w:sz w:val="22"/>
                <w:szCs w:val="20"/>
                <w:lang w:val="en-US" w:eastAsia="en-US" w:bidi="ar-SA"/>
              </w:rPr>
              <w:footnoteReference w:id="74"/>
            </w:r>
            <w:r>
              <w:rPr>
                <w:rFonts w:eastAsia="Calibri" w:cs="Tahoma" w:ascii="Tahoma" w:hAnsi="Tahoma"/>
                <w:bCs/>
                <w:kern w:val="2"/>
                <w:sz w:val="18"/>
                <w:szCs w:val="20"/>
                <w:lang w:val="en-US" w:eastAsia="en-US" w:bidi="ar-SA"/>
              </w:rPr>
              <w:t>: Организационо-управљачко-институционална</w:t>
            </w:r>
          </w:p>
        </w:tc>
      </w:tr>
      <w:tr>
        <w:trPr/>
        <w:tc>
          <w:tcPr>
            <w:tcW w:w="14311" w:type="dxa"/>
            <w:gridSpan w:val="8"/>
            <w:tcBorders/>
            <w:shd w:color="auto" w:fill="C5E0B3" w:themeFill="accent6" w:themeFillTint="66" w:val="clear"/>
          </w:tcPr>
          <w:p>
            <w:pPr>
              <w:pStyle w:val="Normal"/>
              <w:widowControl w:val="false"/>
              <w:suppressAutoHyphens w:val="true"/>
              <w:spacing w:lineRule="auto" w:line="240" w:before="0" w:after="0"/>
              <w:jc w:val="start"/>
              <w:rPr>
                <w:rFonts w:ascii="Tahoma" w:hAnsi="Tahoma" w:cs="Tahoma"/>
                <w:bCs/>
                <w:sz w:val="18"/>
                <w:szCs w:val="20"/>
              </w:rPr>
            </w:pPr>
            <w:r>
              <w:rPr>
                <w:rFonts w:eastAsia="Calibri" w:cs="Tahoma" w:ascii="Tahoma" w:hAnsi="Tahoma"/>
                <w:bCs/>
                <w:kern w:val="2"/>
                <w:sz w:val="18"/>
                <w:szCs w:val="20"/>
                <w:lang w:val="en-US" w:eastAsia="en-US" w:bidi="ar-SA"/>
              </w:rPr>
              <w:t xml:space="preserve">Прописи које је потребно изменити/усвојити за спровођење мере: </w:t>
            </w:r>
            <w:r>
              <w:rPr>
                <w:rFonts w:eastAsia="Times New Roman" w:cs="Tahoma" w:ascii="Tahoma" w:hAnsi="Tahoma"/>
                <w:kern w:val="2"/>
                <w:sz w:val="18"/>
                <w:szCs w:val="20"/>
                <w:lang w:val="en-US" w:eastAsia="sr-Latn-RS" w:bidi="ar-SA"/>
              </w:rPr>
              <w:t>Измена и допуна акта о систематизациј</w:t>
            </w:r>
            <w:r>
              <w:rPr>
                <w:rFonts w:eastAsia="Calibri" w:cs="Tahoma" w:ascii="Tahoma" w:hAnsi="Tahoma"/>
                <w:kern w:val="2"/>
                <w:sz w:val="18"/>
                <w:szCs w:val="20"/>
                <w:lang w:val="en-US" w:eastAsia="en-US" w:bidi="ar-SA"/>
              </w:rPr>
              <w:t>и</w:t>
            </w:r>
          </w:p>
          <w:p>
            <w:pPr>
              <w:pStyle w:val="Normal"/>
              <w:widowControl w:val="false"/>
              <w:suppressAutoHyphens w:val="true"/>
              <w:spacing w:lineRule="auto" w:line="240" w:before="0" w:after="0"/>
              <w:jc w:val="start"/>
              <w:rPr>
                <w:rFonts w:ascii="Tahoma" w:hAnsi="Tahoma" w:cs="Tahoma"/>
                <w:bCs/>
                <w:sz w:val="18"/>
                <w:szCs w:val="20"/>
              </w:rPr>
            </w:pPr>
            <w:r>
              <w:rPr>
                <w:rFonts w:cs="Tahoma" w:ascii="Tahoma" w:hAnsi="Tahoma"/>
                <w:bCs/>
                <w:sz w:val="18"/>
                <w:szCs w:val="20"/>
              </w:rPr>
            </w:r>
          </w:p>
        </w:tc>
      </w:tr>
      <w:tr>
        <w:trPr/>
        <w:tc>
          <w:tcPr>
            <w:tcW w:w="3938" w:type="dxa"/>
            <w:tcBorders/>
            <w:shd w:color="auto" w:fill="D9E2F3" w:themeFill="accent1" w:themeFillTint="33" w:val="clear"/>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b/>
                <w:kern w:val="2"/>
                <w:sz w:val="18"/>
                <w:szCs w:val="20"/>
                <w:lang w:val="en-US" w:eastAsia="en-US" w:bidi="ar-SA"/>
              </w:rPr>
              <w:t>Показатељ(и) на нивоу мере</w:t>
            </w:r>
          </w:p>
        </w:tc>
        <w:tc>
          <w:tcPr>
            <w:tcW w:w="1599"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Jединица мере</w:t>
            </w:r>
          </w:p>
        </w:tc>
        <w:tc>
          <w:tcPr>
            <w:tcW w:w="1438" w:type="dxa"/>
            <w:gridSpan w:val="2"/>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Извор провере</w:t>
            </w:r>
          </w:p>
        </w:tc>
        <w:tc>
          <w:tcPr>
            <w:tcW w:w="158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Почетна вредност са базном годином</w:t>
            </w:r>
          </w:p>
        </w:tc>
        <w:tc>
          <w:tcPr>
            <w:tcW w:w="1464"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2025</w:t>
            </w:r>
          </w:p>
        </w:tc>
        <w:tc>
          <w:tcPr>
            <w:tcW w:w="146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2026</w:t>
            </w:r>
          </w:p>
        </w:tc>
        <w:tc>
          <w:tcPr>
            <w:tcW w:w="282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2027</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Формиран Савет за социјалну политику</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Да/Не</w:t>
            </w:r>
          </w:p>
        </w:tc>
        <w:tc>
          <w:tcPr>
            <w:tcW w:w="1438" w:type="dxa"/>
            <w:gridSpan w:val="2"/>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Одлука Скупштине општине</w:t>
            </w:r>
          </w:p>
        </w:tc>
        <w:tc>
          <w:tcPr>
            <w:tcW w:w="158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Не (2024)</w:t>
            </w:r>
          </w:p>
        </w:tc>
        <w:tc>
          <w:tcPr>
            <w:tcW w:w="146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Да</w:t>
            </w:r>
          </w:p>
        </w:tc>
        <w:tc>
          <w:tcPr>
            <w:tcW w:w="146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Не</w:t>
            </w:r>
          </w:p>
        </w:tc>
        <w:tc>
          <w:tcPr>
            <w:tcW w:w="282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Не</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Измењен и  допуњен акт о  систематизацији</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Да/Не</w:t>
            </w:r>
          </w:p>
        </w:tc>
        <w:tc>
          <w:tcPr>
            <w:tcW w:w="1438" w:type="dxa"/>
            <w:gridSpan w:val="2"/>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Одлука Скупштине општине</w:t>
            </w:r>
          </w:p>
        </w:tc>
        <w:tc>
          <w:tcPr>
            <w:tcW w:w="158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Не (2024)</w:t>
            </w:r>
          </w:p>
        </w:tc>
        <w:tc>
          <w:tcPr>
            <w:tcW w:w="146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Да</w:t>
            </w:r>
          </w:p>
        </w:tc>
        <w:tc>
          <w:tcPr>
            <w:tcW w:w="146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Не</w:t>
            </w:r>
          </w:p>
        </w:tc>
        <w:tc>
          <w:tcPr>
            <w:tcW w:w="282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Не</w:t>
            </w:r>
          </w:p>
        </w:tc>
      </w:tr>
    </w:tbl>
    <w:p>
      <w:pPr>
        <w:pStyle w:val="Normal"/>
        <w:rPr>
          <w:rFonts w:ascii="Tahoma" w:hAnsi="Tahoma" w:cs="Tahoma"/>
          <w:sz w:val="20"/>
        </w:rPr>
      </w:pPr>
      <w:r>
        <w:rPr>
          <w:rFonts w:cs="Tahoma" w:ascii="Tahoma" w:hAnsi="Tahoma"/>
          <w:sz w:val="20"/>
        </w:rPr>
      </w:r>
    </w:p>
    <w:tbl>
      <w:tblPr>
        <w:tblStyle w:val="TableGrid"/>
        <w:tblW w:w="14311"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2571"/>
        <w:gridCol w:w="1743"/>
        <w:gridCol w:w="1427"/>
        <w:gridCol w:w="1417"/>
        <w:gridCol w:w="1627"/>
        <w:gridCol w:w="1521"/>
        <w:gridCol w:w="1335"/>
        <w:gridCol w:w="1353"/>
        <w:gridCol w:w="1315"/>
      </w:tblGrid>
      <w:tr>
        <w:trPr>
          <w:trHeight w:val="853" w:hRule="atLeast"/>
        </w:trPr>
        <w:tc>
          <w:tcPr>
            <w:tcW w:w="2571" w:type="dxa"/>
            <w:vMerge w:val="restart"/>
            <w:tcBorders/>
            <w:shd w:color="auto" w:fill="FFFFCC" w:val="clear"/>
            <w:vAlign w:val="center"/>
          </w:tcPr>
          <w:p>
            <w:pPr>
              <w:pStyle w:val="Normal"/>
              <w:widowControl w:val="false"/>
              <w:suppressAutoHyphens w:val="true"/>
              <w:spacing w:lineRule="auto" w:line="240" w:before="60" w:after="60"/>
              <w:jc w:val="start"/>
              <w:rPr>
                <w:rFonts w:ascii="Tahoma" w:hAnsi="Tahoma" w:cs="Tahoma"/>
                <w:b/>
                <w:b/>
                <w:spacing w:val="-8"/>
                <w:sz w:val="18"/>
                <w:szCs w:val="20"/>
              </w:rPr>
            </w:pPr>
            <w:r>
              <w:rPr>
                <w:rFonts w:eastAsia="Calibri" w:cs="Tahoma" w:ascii="Tahoma" w:hAnsi="Tahoma"/>
                <w:b/>
                <w:spacing w:val="-8"/>
                <w:kern w:val="2"/>
                <w:sz w:val="18"/>
                <w:szCs w:val="20"/>
                <w:lang w:val="en-US" w:eastAsia="en-US" w:bidi="ar-SA"/>
              </w:rPr>
              <w:t>Назив активности</w:t>
            </w:r>
          </w:p>
        </w:tc>
        <w:tc>
          <w:tcPr>
            <w:tcW w:w="1743"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Организациона јединица која спроводи активност</w:t>
            </w:r>
          </w:p>
        </w:tc>
        <w:tc>
          <w:tcPr>
            <w:tcW w:w="14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Партнери у спровођењу активности</w:t>
            </w:r>
          </w:p>
        </w:tc>
        <w:tc>
          <w:tcPr>
            <w:tcW w:w="141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Рок за завршетак активности </w:t>
            </w:r>
            <w:r>
              <w:rPr>
                <w:rFonts w:eastAsia="Calibri" w:cs="Tahoma" w:ascii="Tahoma" w:hAnsi="Tahoma"/>
                <w:i/>
                <w:spacing w:val="-8"/>
                <w:kern w:val="2"/>
                <w:sz w:val="18"/>
                <w:szCs w:val="20"/>
                <w:lang w:val="en-US" w:eastAsia="en-US" w:bidi="ar-SA"/>
              </w:rPr>
              <w:t>(квартал, година)</w:t>
            </w:r>
          </w:p>
        </w:tc>
        <w:tc>
          <w:tcPr>
            <w:tcW w:w="16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Извор финансирања</w:t>
            </w:r>
          </w:p>
        </w:tc>
        <w:tc>
          <w:tcPr>
            <w:tcW w:w="1521"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Веза са програмским буџетом </w:t>
            </w:r>
            <w:r>
              <w:rPr>
                <w:rFonts w:eastAsia="Calibri" w:cs="Tahoma" w:ascii="Tahoma" w:hAnsi="Tahoma"/>
                <w:i/>
                <w:spacing w:val="-8"/>
                <w:kern w:val="2"/>
                <w:sz w:val="18"/>
                <w:szCs w:val="20"/>
                <w:lang w:val="en-US" w:eastAsia="en-US" w:bidi="ar-SA"/>
              </w:rPr>
              <w:t>(шифра ПР/ПА/ПЈ)</w:t>
            </w:r>
          </w:p>
        </w:tc>
        <w:tc>
          <w:tcPr>
            <w:tcW w:w="4003" w:type="dxa"/>
            <w:gridSpan w:val="3"/>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Укупно процењена финансијска средства по изворима финансирања у 000 РСД</w:t>
            </w:r>
          </w:p>
        </w:tc>
      </w:tr>
      <w:tr>
        <w:trPr>
          <w:trHeight w:val="144" w:hRule="atLeast"/>
        </w:trPr>
        <w:tc>
          <w:tcPr>
            <w:tcW w:w="2571" w:type="dxa"/>
            <w:vMerge w:val="continue"/>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cs="Tahoma" w:ascii="Tahoma" w:hAnsi="Tahoma"/>
                <w:spacing w:val="-8"/>
                <w:sz w:val="18"/>
                <w:szCs w:val="20"/>
              </w:rPr>
            </w:r>
          </w:p>
        </w:tc>
        <w:tc>
          <w:tcPr>
            <w:tcW w:w="1743"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1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6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521"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33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 година</w:t>
            </w:r>
          </w:p>
        </w:tc>
        <w:tc>
          <w:tcPr>
            <w:tcW w:w="1353"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 година</w:t>
            </w:r>
          </w:p>
        </w:tc>
        <w:tc>
          <w:tcPr>
            <w:tcW w:w="131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 година</w:t>
            </w:r>
          </w:p>
        </w:tc>
      </w:tr>
      <w:tr>
        <w:trPr>
          <w:trHeight w:val="359" w:hRule="atLeast"/>
        </w:trPr>
        <w:tc>
          <w:tcPr>
            <w:tcW w:w="2571" w:type="dxa"/>
            <w:tcBorders/>
            <w:vAlign w:val="center"/>
          </w:tcPr>
          <w:p>
            <w:pPr>
              <w:pStyle w:val="Normal"/>
              <w:widowControl w:val="false"/>
              <w:suppressAutoHyphens w:val="true"/>
              <w:spacing w:lineRule="auto" w:line="240" w:before="0" w:after="0"/>
              <w:jc w:val="start"/>
              <w:rPr>
                <w:rFonts w:ascii="Tahoma" w:hAnsi="Tahoma" w:cs="Tahoma"/>
                <w:sz w:val="18"/>
                <w:szCs w:val="20"/>
              </w:rPr>
            </w:pPr>
            <w:r>
              <w:rPr>
                <w:rFonts w:eastAsia="Calibri" w:cs="Tahoma" w:ascii="Tahoma" w:hAnsi="Tahoma"/>
                <w:kern w:val="2"/>
                <w:sz w:val="18"/>
                <w:szCs w:val="20"/>
                <w:lang w:val="en-US" w:eastAsia="en-US" w:bidi="ar-SA"/>
              </w:rPr>
              <w:t>1.1.1.</w:t>
            </w:r>
            <w:r>
              <w:rPr>
                <w:rFonts w:eastAsia="Times New Roman" w:cs="Tahoma" w:ascii="Tahoma" w:hAnsi="Tahoma"/>
                <w:kern w:val="2"/>
                <w:sz w:val="18"/>
                <w:szCs w:val="20"/>
                <w:lang w:val="en-US" w:eastAsia="sr-Latn-RS" w:bidi="ar-SA"/>
              </w:rPr>
              <w:t xml:space="preserve"> Оснивање Савета за социјалну политику као сталног радног тела Скупштине општине,</w:t>
            </w:r>
          </w:p>
          <w:p>
            <w:pPr>
              <w:pStyle w:val="ListParagraph"/>
              <w:widowControl w:val="false"/>
              <w:suppressAutoHyphens w:val="true"/>
              <w:spacing w:lineRule="auto" w:line="240" w:before="0" w:after="0"/>
              <w:contextualSpacing/>
              <w:jc w:val="start"/>
              <w:rPr>
                <w:rFonts w:ascii="Tahoma" w:hAnsi="Tahoma" w:cs="Tahoma"/>
                <w:sz w:val="18"/>
                <w:szCs w:val="20"/>
              </w:rPr>
            </w:pPr>
            <w:r>
              <w:rPr>
                <w:rFonts w:cs="Tahoma" w:ascii="Tahoma" w:hAnsi="Tahoma"/>
                <w:sz w:val="18"/>
                <w:szCs w:val="20"/>
              </w:rPr>
            </w:r>
          </w:p>
        </w:tc>
        <w:tc>
          <w:tcPr>
            <w:tcW w:w="1743" w:type="dxa"/>
            <w:tcBorders/>
            <w:vAlign w:val="center"/>
          </w:tcPr>
          <w:p>
            <w:pPr>
              <w:pStyle w:val="Normal"/>
              <w:widowControl w:val="false"/>
              <w:suppressAutoHyphens w:val="true"/>
              <w:spacing w:lineRule="auto" w:line="240" w:before="0" w:after="0"/>
              <w:jc w:val="start"/>
              <w:rPr>
                <w:rFonts w:ascii="Tahoma" w:hAnsi="Tahoma" w:cs="Tahoma"/>
                <w:spacing w:val="-8"/>
                <w:sz w:val="18"/>
                <w:szCs w:val="20"/>
              </w:rPr>
            </w:pPr>
            <w:r>
              <w:rPr>
                <w:rFonts w:eastAsia="Calibri" w:cs="Tahoma" w:ascii="Tahoma" w:hAnsi="Tahoma"/>
                <w:spacing w:val="-8"/>
                <w:kern w:val="2"/>
                <w:sz w:val="18"/>
                <w:szCs w:val="20"/>
                <w:lang w:val="en-US" w:eastAsia="en-US" w:bidi="ar-SA"/>
              </w:rPr>
              <w:t>Скупштина општине</w:t>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Локалне установе и ОЦД</w:t>
            </w:r>
          </w:p>
        </w:tc>
        <w:tc>
          <w:tcPr>
            <w:tcW w:w="1417" w:type="dxa"/>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eastAsia="Calibri" w:cs="Tahoma" w:ascii="Tahoma" w:hAnsi="Tahoma"/>
                <w:spacing w:val="-8"/>
                <w:kern w:val="2"/>
                <w:sz w:val="18"/>
                <w:szCs w:val="20"/>
                <w:lang w:val="en-US" w:eastAsia="en-US" w:bidi="ar-SA"/>
              </w:rPr>
              <w:t>1 квартал 2025</w:t>
            </w:r>
          </w:p>
        </w:tc>
        <w:tc>
          <w:tcPr>
            <w:tcW w:w="1627" w:type="dxa"/>
            <w:tcBorders/>
          </w:tcPr>
          <w:p>
            <w:pPr>
              <w:pStyle w:val="Normal"/>
              <w:widowControl w:val="false"/>
              <w:suppressAutoHyphens w:val="true"/>
              <w:spacing w:lineRule="auto" w:line="240" w:before="60" w:after="60"/>
              <w:jc w:val="start"/>
              <w:rPr>
                <w:rFonts w:ascii="Tahoma" w:hAnsi="Tahoma" w:cs="Tahoma"/>
                <w:spacing w:val="-8"/>
                <w:sz w:val="18"/>
                <w:szCs w:val="20"/>
                <w:highlight w:val="yellow"/>
              </w:rPr>
            </w:pPr>
            <w:r>
              <w:rPr>
                <w:rFonts w:eastAsia="Calibri" w:cs="Tahoma" w:ascii="Tahoma" w:hAnsi="Tahoma"/>
                <w:spacing w:val="-8"/>
                <w:kern w:val="2"/>
                <w:sz w:val="18"/>
                <w:szCs w:val="20"/>
                <w:lang w:val="en-US" w:eastAsia="en-US" w:bidi="ar-SA"/>
              </w:rPr>
              <w:t>01-средства из буџета ЈЛС</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2101-0001</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r>
      <w:tr>
        <w:trPr>
          <w:trHeight w:val="370" w:hRule="atLeast"/>
        </w:trPr>
        <w:tc>
          <w:tcPr>
            <w:tcW w:w="2571" w:type="dxa"/>
            <w:tcBorders/>
            <w:vAlign w:val="center"/>
          </w:tcPr>
          <w:p>
            <w:pPr>
              <w:pStyle w:val="Normal"/>
              <w:widowControl w:val="false"/>
              <w:suppressAutoHyphens w:val="true"/>
              <w:spacing w:lineRule="auto" w:line="240" w:before="0" w:after="0"/>
              <w:jc w:val="start"/>
              <w:rPr>
                <w:rFonts w:ascii="Tahoma" w:hAnsi="Tahoma" w:cs="Tahoma"/>
                <w:sz w:val="18"/>
                <w:szCs w:val="20"/>
              </w:rPr>
            </w:pPr>
            <w:r>
              <w:rPr>
                <w:rFonts w:eastAsia="Calibri" w:cs="Tahoma" w:ascii="Tahoma" w:hAnsi="Tahoma"/>
                <w:kern w:val="2"/>
                <w:sz w:val="18"/>
                <w:szCs w:val="20"/>
                <w:lang w:val="en-US" w:eastAsia="en-US" w:bidi="ar-SA"/>
              </w:rPr>
              <w:t xml:space="preserve">1.1.2.  </w:t>
            </w:r>
            <w:r>
              <w:rPr>
                <w:rFonts w:eastAsia="Times New Roman" w:cs="Tahoma" w:ascii="Tahoma" w:hAnsi="Tahoma"/>
                <w:kern w:val="2"/>
                <w:sz w:val="18"/>
                <w:szCs w:val="20"/>
                <w:lang w:val="en-US" w:eastAsia="sr-Latn-RS" w:bidi="ar-SA"/>
              </w:rPr>
              <w:t>Измена и допуна акта о систематизациј</w:t>
            </w:r>
            <w:r>
              <w:rPr>
                <w:rFonts w:eastAsia="Calibri" w:cs="Tahoma" w:ascii="Tahoma" w:hAnsi="Tahoma"/>
                <w:kern w:val="2"/>
                <w:sz w:val="18"/>
                <w:szCs w:val="20"/>
                <w:lang w:val="en-US" w:eastAsia="en-US" w:bidi="ar-SA"/>
              </w:rPr>
              <w:t>и</w:t>
            </w:r>
          </w:p>
        </w:tc>
        <w:tc>
          <w:tcPr>
            <w:tcW w:w="1743" w:type="dxa"/>
            <w:tcBorders/>
            <w:vAlign w:val="center"/>
          </w:tcPr>
          <w:p>
            <w:pPr>
              <w:pStyle w:val="Normal"/>
              <w:widowControl w:val="false"/>
              <w:suppressAutoHyphens w:val="true"/>
              <w:spacing w:lineRule="auto" w:line="240" w:before="0" w:after="0"/>
              <w:jc w:val="start"/>
              <w:rPr>
                <w:rFonts w:ascii="Tahoma" w:hAnsi="Tahoma" w:cs="Tahoma"/>
                <w:spacing w:val="-8"/>
                <w:sz w:val="18"/>
                <w:szCs w:val="20"/>
              </w:rPr>
            </w:pPr>
            <w:r>
              <w:rPr>
                <w:rFonts w:eastAsia="Calibri" w:cs="Tahoma" w:ascii="Tahoma" w:hAnsi="Tahoma"/>
                <w:spacing w:val="-8"/>
                <w:kern w:val="2"/>
                <w:sz w:val="18"/>
                <w:szCs w:val="20"/>
                <w:lang w:val="en-US" w:eastAsia="en-US" w:bidi="ar-SA"/>
              </w:rPr>
              <w:t>Општинска управа</w:t>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7" w:type="dxa"/>
            <w:tcBorders/>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0602-0001</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r>
    </w:tbl>
    <w:p>
      <w:pPr>
        <w:pStyle w:val="Normal"/>
        <w:ind w:firstLine="720"/>
        <w:jc w:val="both"/>
        <w:rPr>
          <w:rFonts w:ascii="Tahoma" w:hAnsi="Tahoma" w:eastAsia="Times New Roman" w:cs="Tahoma"/>
          <w:i/>
          <w:i/>
          <w:kern w:val="0"/>
          <w:sz w:val="16"/>
          <w:szCs w:val="18"/>
          <w14:ligatures w14:val="none"/>
        </w:rPr>
      </w:pPr>
      <w:r>
        <w:rPr>
          <w:rFonts w:eastAsia="Times New Roman" w:cs="Tahoma" w:ascii="Tahoma" w:hAnsi="Tahoma"/>
          <w:i/>
          <w:kern w:val="0"/>
          <w:sz w:val="16"/>
          <w:szCs w:val="18"/>
          <w14:ligatures w14:val="none"/>
        </w:rPr>
      </w:r>
    </w:p>
    <w:p>
      <w:pPr>
        <w:pStyle w:val="Normal"/>
        <w:ind w:firstLine="720"/>
        <w:jc w:val="both"/>
        <w:rPr>
          <w:rFonts w:ascii="Tahoma" w:hAnsi="Tahoma" w:eastAsia="Times New Roman" w:cs="Tahoma"/>
          <w:i/>
          <w:i/>
          <w:kern w:val="0"/>
          <w:sz w:val="16"/>
          <w:szCs w:val="18"/>
          <w14:ligatures w14:val="none"/>
        </w:rPr>
      </w:pPr>
      <w:r>
        <w:rPr>
          <w:rFonts w:eastAsia="Times New Roman" w:cs="Tahoma" w:ascii="Tahoma" w:hAnsi="Tahoma"/>
          <w:i/>
          <w:kern w:val="0"/>
          <w:sz w:val="16"/>
          <w:szCs w:val="18"/>
          <w14:ligatures w14:val="none"/>
        </w:rPr>
      </w:r>
    </w:p>
    <w:tbl>
      <w:tblPr>
        <w:tblStyle w:val="TableGrid"/>
        <w:tblW w:w="14312"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3938"/>
        <w:gridCol w:w="1599"/>
        <w:gridCol w:w="734"/>
        <w:gridCol w:w="704"/>
        <w:gridCol w:w="1580"/>
        <w:gridCol w:w="1464"/>
        <w:gridCol w:w="1466"/>
        <w:gridCol w:w="2826"/>
      </w:tblGrid>
      <w:tr>
        <w:trPr/>
        <w:tc>
          <w:tcPr>
            <w:tcW w:w="14311" w:type="dxa"/>
            <w:gridSpan w:val="8"/>
            <w:tcBorders/>
            <w:shd w:color="auto" w:fill="A8D08D" w:themeFill="accent6" w:themeFillTint="99" w:val="clear"/>
          </w:tcPr>
          <w:p>
            <w:pPr>
              <w:pStyle w:val="Normal"/>
              <w:widowControl w:val="false"/>
              <w:suppressAutoHyphens w:val="true"/>
              <w:spacing w:lineRule="auto" w:line="240" w:before="0" w:after="120"/>
              <w:jc w:val="start"/>
              <w:rPr>
                <w:rFonts w:ascii="Tahoma" w:hAnsi="Tahoma" w:cs="Tahoma"/>
                <w:b/>
                <w:b/>
                <w:sz w:val="18"/>
                <w:szCs w:val="20"/>
              </w:rPr>
            </w:pPr>
            <w:r>
              <w:rPr>
                <w:rFonts w:eastAsia="Calibri" w:cs="Tahoma" w:ascii="Tahoma" w:hAnsi="Tahoma"/>
                <w:b/>
                <w:kern w:val="2"/>
                <w:sz w:val="18"/>
                <w:szCs w:val="20"/>
                <w:lang w:val="en-US" w:eastAsia="en-US" w:bidi="ar-SA"/>
              </w:rPr>
              <w:t xml:space="preserve">МЕРА 1.2. </w:t>
            </w:r>
            <w:r>
              <w:rPr>
                <w:rFonts w:eastAsia="Times New Roman" w:cs="Tahoma" w:ascii="Tahoma" w:hAnsi="Tahoma"/>
                <w:b/>
                <w:kern w:val="2"/>
                <w:sz w:val="18"/>
                <w:szCs w:val="20"/>
                <w:lang w:val="en-US" w:eastAsia="sr-Latn-RS" w:bidi="ar-SA"/>
              </w:rPr>
              <w:t>Унапређење услова за обављање делатности Центра за социјални рад у општини Беочин</w:t>
            </w:r>
          </w:p>
        </w:tc>
      </w:tr>
      <w:tr>
        <w:trPr/>
        <w:tc>
          <w:tcPr>
            <w:tcW w:w="3938" w:type="dxa"/>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Организациона јединица одговорна за спровођење (координисање спровођења) мере</w:t>
            </w:r>
          </w:p>
        </w:tc>
        <w:tc>
          <w:tcPr>
            <w:tcW w:w="2333"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Извор финансирања</w:t>
            </w:r>
          </w:p>
        </w:tc>
        <w:tc>
          <w:tcPr>
            <w:tcW w:w="2284"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bCs/>
                <w:sz w:val="18"/>
                <w:szCs w:val="20"/>
              </w:rPr>
            </w:pPr>
            <w:r>
              <w:rPr>
                <w:rFonts w:eastAsia="Calibri" w:cs="Tahoma" w:ascii="Tahoma" w:hAnsi="Tahoma"/>
                <w:b/>
                <w:bCs/>
                <w:kern w:val="2"/>
                <w:sz w:val="18"/>
                <w:szCs w:val="20"/>
                <w:lang w:val="en-US" w:eastAsia="en-US" w:bidi="ar-SA"/>
              </w:rPr>
              <w:t xml:space="preserve">Веза са програмским буџетом </w:t>
            </w:r>
            <w:r>
              <w:rPr>
                <w:rFonts w:eastAsia="Calibri" w:cs="Tahoma" w:ascii="Tahoma" w:hAnsi="Tahoma"/>
                <w:b/>
                <w:bCs/>
                <w:i/>
                <w:iCs/>
                <w:kern w:val="2"/>
                <w:sz w:val="18"/>
                <w:szCs w:val="20"/>
                <w:lang w:val="en-US" w:eastAsia="en-US" w:bidi="ar-SA"/>
              </w:rPr>
              <w:t>(шифра ПР/ПА/ПЈ)</w:t>
            </w:r>
          </w:p>
        </w:tc>
        <w:tc>
          <w:tcPr>
            <w:tcW w:w="5756" w:type="dxa"/>
            <w:gridSpan w:val="3"/>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Укупно процењена финансијска средства по изворима финансирања у 000 РСД</w:t>
            </w:r>
            <w:r>
              <w:rPr>
                <w:rStyle w:val="FootnoteAnchor"/>
                <w:rFonts w:eastAsia="Calibri" w:cs="Tahoma" w:ascii="Tahoma" w:hAnsi="Tahoma"/>
                <w:b/>
                <w:kern w:val="2"/>
                <w:sz w:val="18"/>
                <w:szCs w:val="22"/>
                <w:lang w:val="en-US" w:eastAsia="en-US" w:bidi="ar-SA"/>
              </w:rPr>
              <w:footnoteReference w:id="75"/>
            </w:r>
          </w:p>
        </w:tc>
      </w:tr>
      <w:tr>
        <w:trPr/>
        <w:tc>
          <w:tcPr>
            <w:tcW w:w="3938" w:type="dxa"/>
            <w:vMerge w:val="continue"/>
            <w:tcBorders/>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2333"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2284"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w:t>
            </w:r>
          </w:p>
        </w:tc>
        <w:tc>
          <w:tcPr>
            <w:tcW w:w="146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w:t>
            </w:r>
          </w:p>
        </w:tc>
        <w:tc>
          <w:tcPr>
            <w:tcW w:w="282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w:t>
            </w:r>
          </w:p>
        </w:tc>
      </w:tr>
      <w:tr>
        <w:trPr/>
        <w:tc>
          <w:tcPr>
            <w:tcW w:w="3938" w:type="dxa"/>
            <w:vMerge w:val="restart"/>
            <w:tcBorders/>
            <w:shd w:color="auto" w:fill="auto" w:val="clear"/>
          </w:tcPr>
          <w:p>
            <w:pPr>
              <w:pStyle w:val="Normal"/>
              <w:widowControl w:val="false"/>
              <w:suppressAutoHyphens w:val="true"/>
              <w:spacing w:lineRule="auto" w:line="240" w:before="60" w:after="60"/>
              <w:jc w:val="start"/>
              <w:rPr>
                <w:rFonts w:ascii="Tahoma" w:hAnsi="Tahoma" w:cs="Tahoma"/>
                <w:bCs/>
                <w:sz w:val="18"/>
                <w:szCs w:val="20"/>
                <w:lang w:val="sr-RS"/>
              </w:rPr>
            </w:pPr>
            <w:r>
              <w:rPr>
                <w:rFonts w:eastAsia="Calibri" w:cs="Tahoma" w:ascii="Tahoma" w:hAnsi="Tahoma"/>
                <w:bCs/>
                <w:spacing w:val="-8"/>
                <w:kern w:val="2"/>
                <w:sz w:val="18"/>
                <w:szCs w:val="20"/>
                <w:lang w:val="sr-RS" w:eastAsia="en-US" w:bidi="ar-SA"/>
              </w:rPr>
              <w:t>Општинска управа</w:t>
            </w:r>
          </w:p>
        </w:tc>
        <w:tc>
          <w:tcPr>
            <w:tcW w:w="2333" w:type="dxa"/>
            <w:gridSpan w:val="2"/>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2284" w:type="dxa"/>
            <w:gridSpan w:val="2"/>
            <w:vMerge w:val="restart"/>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0902-4005</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282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350</w:t>
            </w:r>
          </w:p>
        </w:tc>
      </w:tr>
      <w:tr>
        <w:trPr/>
        <w:tc>
          <w:tcPr>
            <w:tcW w:w="3938" w:type="dxa"/>
            <w:vMerge w:val="continue"/>
            <w:tcBorders/>
            <w:shd w:color="auto" w:fill="auto" w:val="clear"/>
          </w:tcPr>
          <w:p>
            <w:pPr>
              <w:pStyle w:val="Normal"/>
              <w:widowControl w:val="false"/>
              <w:suppressAutoHyphens w:val="true"/>
              <w:spacing w:lineRule="auto" w:line="240" w:before="60" w:after="60"/>
              <w:jc w:val="start"/>
              <w:rPr>
                <w:rFonts w:ascii="Tahoma" w:hAnsi="Tahoma" w:cs="Tahoma"/>
                <w:bCs/>
                <w:sz w:val="18"/>
                <w:szCs w:val="20"/>
              </w:rPr>
            </w:pPr>
            <w:r>
              <w:rPr>
                <w:rFonts w:cs="Tahoma" w:ascii="Tahoma" w:hAnsi="Tahoma"/>
                <w:bCs/>
                <w:sz w:val="18"/>
                <w:szCs w:val="20"/>
              </w:rPr>
            </w:r>
          </w:p>
        </w:tc>
        <w:tc>
          <w:tcPr>
            <w:tcW w:w="2333" w:type="dxa"/>
            <w:gridSpan w:val="2"/>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15-неутрошена средства донација из ранијих година</w:t>
            </w:r>
          </w:p>
        </w:tc>
        <w:tc>
          <w:tcPr>
            <w:tcW w:w="2284" w:type="dxa"/>
            <w:gridSpan w:val="2"/>
            <w:vMerge w:val="continue"/>
            <w:tcBorders/>
            <w:shd w:color="auto" w:fill="auto"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410</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282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r>
      <w:tr>
        <w:trPr/>
        <w:tc>
          <w:tcPr>
            <w:tcW w:w="6271" w:type="dxa"/>
            <w:gridSpan w:val="3"/>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Период спровођења мере: 2025-2027</w:t>
            </w:r>
          </w:p>
        </w:tc>
        <w:tc>
          <w:tcPr>
            <w:tcW w:w="8040" w:type="dxa"/>
            <w:gridSpan w:val="5"/>
            <w:tcBorders/>
            <w:shd w:color="auto" w:fill="C5E0B3" w:themeFill="accent6" w:themeFillTint="66" w:val="clea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b/>
                <w:kern w:val="2"/>
                <w:sz w:val="18"/>
                <w:szCs w:val="20"/>
                <w:lang w:val="en-US" w:eastAsia="en-US" w:bidi="ar-SA"/>
              </w:rPr>
              <w:t>Тип мере</w:t>
            </w:r>
            <w:r>
              <w:rPr>
                <w:rStyle w:val="FootnoteAnchor"/>
                <w:rFonts w:eastAsia="Calibri" w:cs="Tahoma" w:ascii="Tahoma" w:hAnsi="Tahoma"/>
                <w:b/>
                <w:kern w:val="2"/>
                <w:sz w:val="18"/>
                <w:szCs w:val="22"/>
                <w:lang w:val="en-US" w:eastAsia="en-US" w:bidi="ar-SA"/>
              </w:rPr>
              <w:footnoteReference w:id="76"/>
            </w:r>
            <w:r>
              <w:rPr>
                <w:rFonts w:eastAsia="Calibri" w:cs="Tahoma" w:ascii="Tahoma" w:hAnsi="Tahoma"/>
                <w:b/>
                <w:kern w:val="2"/>
                <w:sz w:val="18"/>
                <w:szCs w:val="20"/>
                <w:lang w:val="en-US" w:eastAsia="en-US" w:bidi="ar-SA"/>
              </w:rPr>
              <w:t>: Обезбеђење добара и пружање услуга</w:t>
            </w:r>
          </w:p>
        </w:tc>
      </w:tr>
      <w:tr>
        <w:trPr/>
        <w:tc>
          <w:tcPr>
            <w:tcW w:w="14311" w:type="dxa"/>
            <w:gridSpan w:val="8"/>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Cs/>
                <w:i/>
                <w:i/>
                <w:iCs/>
                <w:sz w:val="18"/>
                <w:szCs w:val="20"/>
              </w:rPr>
            </w:pPr>
            <w:r>
              <w:rPr>
                <w:rFonts w:eastAsia="Calibri" w:cs="Tahoma" w:ascii="Tahoma" w:hAnsi="Tahoma"/>
                <w:bCs/>
                <w:kern w:val="2"/>
                <w:sz w:val="18"/>
                <w:szCs w:val="20"/>
                <w:lang w:val="en-US" w:eastAsia="en-US" w:bidi="ar-SA"/>
              </w:rPr>
              <w:t xml:space="preserve">Прописи које је потребно изменити/усвојити за спровођење мере: </w:t>
            </w:r>
            <w:r>
              <w:rPr>
                <w:rFonts w:eastAsia="Calibri" w:cs="Tahoma" w:ascii="Tahoma" w:hAnsi="Tahoma"/>
                <w:bCs/>
                <w:i/>
                <w:iCs/>
                <w:kern w:val="2"/>
                <w:sz w:val="18"/>
                <w:szCs w:val="20"/>
                <w:lang w:val="en-US" w:eastAsia="en-US" w:bidi="ar-SA"/>
              </w:rPr>
              <w:t>н/п</w:t>
            </w:r>
          </w:p>
        </w:tc>
      </w:tr>
      <w:tr>
        <w:trPr/>
        <w:tc>
          <w:tcPr>
            <w:tcW w:w="3938" w:type="dxa"/>
            <w:tcBorders/>
            <w:shd w:color="auto" w:fill="D9E2F3" w:themeFill="accent1" w:themeFillTint="33" w:val="clear"/>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b/>
                <w:kern w:val="2"/>
                <w:sz w:val="18"/>
                <w:szCs w:val="20"/>
                <w:lang w:val="en-US" w:eastAsia="en-US" w:bidi="ar-SA"/>
              </w:rPr>
              <w:t>Показатељ(и) на нивоу мере</w:t>
            </w:r>
          </w:p>
        </w:tc>
        <w:tc>
          <w:tcPr>
            <w:tcW w:w="1599"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Jединица мере</w:t>
            </w:r>
          </w:p>
        </w:tc>
        <w:tc>
          <w:tcPr>
            <w:tcW w:w="1438" w:type="dxa"/>
            <w:gridSpan w:val="2"/>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Извор провере</w:t>
            </w:r>
          </w:p>
        </w:tc>
        <w:tc>
          <w:tcPr>
            <w:tcW w:w="158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Почетна вредност са базном годином</w:t>
            </w:r>
          </w:p>
        </w:tc>
        <w:tc>
          <w:tcPr>
            <w:tcW w:w="1464"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2025</w:t>
            </w:r>
          </w:p>
        </w:tc>
        <w:tc>
          <w:tcPr>
            <w:tcW w:w="146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2026</w:t>
            </w:r>
          </w:p>
        </w:tc>
        <w:tc>
          <w:tcPr>
            <w:tcW w:w="282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2027</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Опремљене просторије ЦСР новом техничком опремом и намештајем</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Да/Не</w:t>
            </w:r>
          </w:p>
        </w:tc>
        <w:tc>
          <w:tcPr>
            <w:tcW w:w="1438" w:type="dxa"/>
            <w:gridSpan w:val="2"/>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Општинска управа</w:t>
            </w:r>
          </w:p>
        </w:tc>
        <w:tc>
          <w:tcPr>
            <w:tcW w:w="158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Не (2024)</w:t>
            </w:r>
          </w:p>
        </w:tc>
        <w:tc>
          <w:tcPr>
            <w:tcW w:w="1464"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2</w:t>
            </w:r>
          </w:p>
        </w:tc>
        <w:tc>
          <w:tcPr>
            <w:tcW w:w="1466"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Не</w:t>
            </w:r>
          </w:p>
        </w:tc>
        <w:tc>
          <w:tcPr>
            <w:tcW w:w="2826"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Не</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Урађена кост бенефит анализа</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Да/Не</w:t>
            </w:r>
          </w:p>
        </w:tc>
        <w:tc>
          <w:tcPr>
            <w:tcW w:w="1438" w:type="dxa"/>
            <w:gridSpan w:val="2"/>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Извештај о анализи</w:t>
            </w:r>
          </w:p>
        </w:tc>
        <w:tc>
          <w:tcPr>
            <w:tcW w:w="158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Не (2024)</w:t>
            </w:r>
          </w:p>
        </w:tc>
        <w:tc>
          <w:tcPr>
            <w:tcW w:w="1464"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Не</w:t>
            </w:r>
          </w:p>
        </w:tc>
        <w:tc>
          <w:tcPr>
            <w:tcW w:w="1466"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Не</w:t>
            </w:r>
          </w:p>
        </w:tc>
        <w:tc>
          <w:tcPr>
            <w:tcW w:w="2826"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Да</w:t>
            </w:r>
          </w:p>
        </w:tc>
      </w:tr>
    </w:tbl>
    <w:p>
      <w:pPr>
        <w:pStyle w:val="Normal"/>
        <w:rPr>
          <w:rFonts w:ascii="Tahoma" w:hAnsi="Tahoma" w:cs="Tahoma"/>
          <w:sz w:val="20"/>
        </w:rPr>
      </w:pPr>
      <w:r>
        <w:rPr>
          <w:rFonts w:cs="Tahoma" w:ascii="Tahoma" w:hAnsi="Tahoma"/>
          <w:sz w:val="20"/>
        </w:rPr>
      </w:r>
    </w:p>
    <w:tbl>
      <w:tblPr>
        <w:tblStyle w:val="TableGrid"/>
        <w:tblW w:w="14311"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2571"/>
        <w:gridCol w:w="1743"/>
        <w:gridCol w:w="1427"/>
        <w:gridCol w:w="1417"/>
        <w:gridCol w:w="1627"/>
        <w:gridCol w:w="1521"/>
        <w:gridCol w:w="1335"/>
        <w:gridCol w:w="1353"/>
        <w:gridCol w:w="1315"/>
      </w:tblGrid>
      <w:tr>
        <w:trPr>
          <w:trHeight w:val="853" w:hRule="atLeast"/>
        </w:trPr>
        <w:tc>
          <w:tcPr>
            <w:tcW w:w="2571" w:type="dxa"/>
            <w:vMerge w:val="restart"/>
            <w:tcBorders/>
            <w:shd w:color="auto" w:fill="FFFFCC" w:val="clear"/>
            <w:vAlign w:val="center"/>
          </w:tcPr>
          <w:p>
            <w:pPr>
              <w:pStyle w:val="Normal"/>
              <w:widowControl w:val="false"/>
              <w:suppressAutoHyphens w:val="true"/>
              <w:spacing w:lineRule="auto" w:line="240" w:before="60" w:after="60"/>
              <w:jc w:val="start"/>
              <w:rPr>
                <w:rFonts w:ascii="Tahoma" w:hAnsi="Tahoma" w:cs="Tahoma"/>
                <w:b/>
                <w:b/>
                <w:spacing w:val="-8"/>
                <w:sz w:val="18"/>
                <w:szCs w:val="20"/>
              </w:rPr>
            </w:pPr>
            <w:r>
              <w:rPr>
                <w:rFonts w:eastAsia="Calibri" w:cs="Tahoma" w:ascii="Tahoma" w:hAnsi="Tahoma"/>
                <w:b/>
                <w:spacing w:val="-8"/>
                <w:kern w:val="2"/>
                <w:sz w:val="18"/>
                <w:szCs w:val="20"/>
                <w:lang w:val="en-US" w:eastAsia="en-US" w:bidi="ar-SA"/>
              </w:rPr>
              <w:t>Назив активности</w:t>
            </w:r>
          </w:p>
        </w:tc>
        <w:tc>
          <w:tcPr>
            <w:tcW w:w="1743"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Организациона јединица која спроводи активност</w:t>
            </w:r>
          </w:p>
        </w:tc>
        <w:tc>
          <w:tcPr>
            <w:tcW w:w="14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Партнери у спровођењу активности</w:t>
            </w:r>
          </w:p>
        </w:tc>
        <w:tc>
          <w:tcPr>
            <w:tcW w:w="141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Рок за завршетак активности </w:t>
            </w:r>
            <w:r>
              <w:rPr>
                <w:rFonts w:eastAsia="Calibri" w:cs="Tahoma" w:ascii="Tahoma" w:hAnsi="Tahoma"/>
                <w:i/>
                <w:spacing w:val="-8"/>
                <w:kern w:val="2"/>
                <w:sz w:val="18"/>
                <w:szCs w:val="20"/>
                <w:lang w:val="en-US" w:eastAsia="en-US" w:bidi="ar-SA"/>
              </w:rPr>
              <w:t>(квартал, година)</w:t>
            </w:r>
          </w:p>
        </w:tc>
        <w:tc>
          <w:tcPr>
            <w:tcW w:w="16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Извор финансирања</w:t>
            </w:r>
          </w:p>
        </w:tc>
        <w:tc>
          <w:tcPr>
            <w:tcW w:w="1521"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Веза са програмским буџетом </w:t>
            </w:r>
            <w:r>
              <w:rPr>
                <w:rFonts w:eastAsia="Calibri" w:cs="Tahoma" w:ascii="Tahoma" w:hAnsi="Tahoma"/>
                <w:i/>
                <w:spacing w:val="-8"/>
                <w:kern w:val="2"/>
                <w:sz w:val="18"/>
                <w:szCs w:val="20"/>
                <w:lang w:val="en-US" w:eastAsia="en-US" w:bidi="ar-SA"/>
              </w:rPr>
              <w:t>(шифра ПР/ПА/ПЈ)</w:t>
            </w:r>
          </w:p>
        </w:tc>
        <w:tc>
          <w:tcPr>
            <w:tcW w:w="4003" w:type="dxa"/>
            <w:gridSpan w:val="3"/>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Укупно процењена финансијска средства по изворима финансирања у 000 РСД</w:t>
            </w:r>
          </w:p>
        </w:tc>
      </w:tr>
      <w:tr>
        <w:trPr>
          <w:trHeight w:val="144" w:hRule="atLeast"/>
        </w:trPr>
        <w:tc>
          <w:tcPr>
            <w:tcW w:w="2571" w:type="dxa"/>
            <w:vMerge w:val="continue"/>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cs="Tahoma" w:ascii="Tahoma" w:hAnsi="Tahoma"/>
                <w:spacing w:val="-8"/>
                <w:sz w:val="18"/>
                <w:szCs w:val="20"/>
              </w:rPr>
            </w:r>
          </w:p>
        </w:tc>
        <w:tc>
          <w:tcPr>
            <w:tcW w:w="1743"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1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6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521"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33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 година</w:t>
            </w:r>
          </w:p>
        </w:tc>
        <w:tc>
          <w:tcPr>
            <w:tcW w:w="1353"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 година</w:t>
            </w:r>
          </w:p>
        </w:tc>
        <w:tc>
          <w:tcPr>
            <w:tcW w:w="131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 година</w:t>
            </w:r>
          </w:p>
        </w:tc>
      </w:tr>
      <w:tr>
        <w:trPr>
          <w:trHeight w:val="359" w:hRule="atLeast"/>
        </w:trPr>
        <w:tc>
          <w:tcPr>
            <w:tcW w:w="2571" w:type="dxa"/>
            <w:tcBorders/>
            <w:vAlign w:val="center"/>
          </w:tcPr>
          <w:p>
            <w:pPr>
              <w:pStyle w:val="Normal"/>
              <w:widowControl w:val="false"/>
              <w:suppressAutoHyphens w:val="true"/>
              <w:spacing w:lineRule="auto" w:line="240" w:before="0" w:after="120"/>
              <w:jc w:val="start"/>
              <w:rPr>
                <w:rFonts w:ascii="Tahoma" w:hAnsi="Tahoma" w:eastAsia="Times New Roman" w:cs="Tahoma"/>
                <w:sz w:val="18"/>
                <w:szCs w:val="20"/>
                <w:lang w:eastAsia="sr-Latn-RS"/>
              </w:rPr>
            </w:pPr>
            <w:r>
              <w:rPr>
                <w:rFonts w:eastAsia="Times New Roman" w:cs="Tahoma" w:ascii="Tahoma" w:hAnsi="Tahoma"/>
                <w:kern w:val="2"/>
                <w:sz w:val="18"/>
                <w:szCs w:val="20"/>
                <w:lang w:val="en-US" w:eastAsia="sr-Latn-RS" w:bidi="ar-SA"/>
              </w:rPr>
              <w:t>1.2.1. Набавка опреме и намештаја за просторије ЦСР</w:t>
            </w:r>
          </w:p>
          <w:p>
            <w:pPr>
              <w:pStyle w:val="Normal"/>
              <w:widowControl w:val="false"/>
              <w:suppressAutoHyphens w:val="true"/>
              <w:spacing w:lineRule="auto" w:line="240" w:before="0" w:after="0"/>
              <w:jc w:val="start"/>
              <w:rPr>
                <w:rFonts w:ascii="Tahoma" w:hAnsi="Tahoma" w:cs="Tahoma"/>
                <w:spacing w:val="-8"/>
                <w:sz w:val="18"/>
                <w:szCs w:val="20"/>
              </w:rPr>
            </w:pPr>
            <w:r>
              <w:rPr>
                <w:rFonts w:cs="Tahoma" w:ascii="Tahoma" w:hAnsi="Tahoma"/>
                <w:spacing w:val="-8"/>
                <w:sz w:val="18"/>
                <w:szCs w:val="20"/>
              </w:rPr>
            </w:r>
          </w:p>
        </w:tc>
        <w:tc>
          <w:tcPr>
            <w:tcW w:w="1743" w:type="dxa"/>
            <w:tcBorders/>
            <w:vAlign w:val="cente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Одељење за имовинске, опште и заједничке послове</w:t>
            </w:r>
          </w:p>
          <w:p>
            <w:pPr>
              <w:pStyle w:val="Normal"/>
              <w:widowControl w:val="false"/>
              <w:suppressAutoHyphens w:val="true"/>
              <w:spacing w:lineRule="auto" w:line="240" w:before="60" w:after="60"/>
              <w:jc w:val="start"/>
              <w:rPr>
                <w:rFonts w:ascii="Tahoma" w:hAnsi="Tahoma" w:cs="Tahoma"/>
                <w:spacing w:val="-8"/>
                <w:sz w:val="18"/>
                <w:szCs w:val="20"/>
              </w:rPr>
            </w:pPr>
            <w:r>
              <w:rPr>
                <w:rFonts w:cs="Tahoma" w:ascii="Tahoma" w:hAnsi="Tahoma"/>
                <w:spacing w:val="-8"/>
                <w:sz w:val="18"/>
                <w:szCs w:val="20"/>
              </w:rPr>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ЦСР</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2. квартал 2025</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СКГО</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0902-4005</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highlight w:val="cyan"/>
              </w:rPr>
            </w:pPr>
            <w:r>
              <w:rPr>
                <w:rFonts w:eastAsia="Calibri" w:cs="Tahoma" w:ascii="Tahoma" w:hAnsi="Tahoma"/>
                <w:spacing w:val="-8"/>
                <w:kern w:val="2"/>
                <w:sz w:val="18"/>
                <w:szCs w:val="20"/>
                <w:lang w:val="en-US" w:eastAsia="en-US" w:bidi="ar-SA"/>
              </w:rPr>
              <w:t>410</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r>
      <w:tr>
        <w:trPr>
          <w:trHeight w:val="359" w:hRule="atLeast"/>
        </w:trPr>
        <w:tc>
          <w:tcPr>
            <w:tcW w:w="2571" w:type="dxa"/>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eastAsia="Calibri" w:cs="Tahoma" w:ascii="Tahoma" w:hAnsi="Tahoma"/>
                <w:kern w:val="2"/>
                <w:sz w:val="18"/>
                <w:szCs w:val="20"/>
                <w:lang w:val="en-US" w:eastAsia="en-US" w:bidi="ar-SA"/>
              </w:rPr>
              <w:t>1.2.2. Спровођење кост-бенефит анализе за успостављање сопственог ЦСР за територију општине Беочин</w:t>
            </w:r>
          </w:p>
        </w:tc>
        <w:tc>
          <w:tcPr>
            <w:tcW w:w="1743" w:type="dxa"/>
            <w:tcBorders/>
            <w:vAlign w:val="cente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Одељење за буџет и финансије</w:t>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ЦСР</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highlight w:val="yellow"/>
              </w:rPr>
            </w:pPr>
            <w:r>
              <w:rPr>
                <w:rFonts w:eastAsia="Calibri" w:cs="Tahoma" w:ascii="Tahoma" w:hAnsi="Tahoma"/>
                <w:spacing w:val="-8"/>
                <w:kern w:val="2"/>
                <w:sz w:val="18"/>
                <w:szCs w:val="20"/>
                <w:lang w:val="en-US" w:eastAsia="en-US" w:bidi="ar-SA"/>
              </w:rPr>
              <w:t>01-средства из буџета ЈЛС</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0902-0005</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350</w:t>
            </w:r>
          </w:p>
        </w:tc>
      </w:tr>
    </w:tbl>
    <w:p>
      <w:pPr>
        <w:pStyle w:val="Normal"/>
        <w:ind w:firstLine="720"/>
        <w:jc w:val="both"/>
        <w:rPr>
          <w:rFonts w:ascii="Tahoma" w:hAnsi="Tahoma" w:eastAsia="Times New Roman" w:cs="Tahoma"/>
          <w:i/>
          <w:i/>
          <w:kern w:val="0"/>
          <w:sz w:val="16"/>
          <w:szCs w:val="18"/>
          <w:lang w:val="sr-Latn-RS"/>
          <w14:ligatures w14:val="none"/>
        </w:rPr>
      </w:pPr>
      <w:r>
        <w:rPr>
          <w:rFonts w:eastAsia="Times New Roman" w:cs="Tahoma" w:ascii="Tahoma" w:hAnsi="Tahoma"/>
          <w:i/>
          <w:kern w:val="0"/>
          <w:sz w:val="16"/>
          <w:szCs w:val="18"/>
          <w:lang w:val="sr-Latn-RS"/>
          <w14:ligatures w14:val="none"/>
        </w:rPr>
      </w:r>
    </w:p>
    <w:tbl>
      <w:tblPr>
        <w:tblStyle w:val="TableGrid"/>
        <w:tblW w:w="14312"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3938"/>
        <w:gridCol w:w="1599"/>
        <w:gridCol w:w="734"/>
        <w:gridCol w:w="704"/>
        <w:gridCol w:w="1580"/>
        <w:gridCol w:w="1464"/>
        <w:gridCol w:w="1466"/>
        <w:gridCol w:w="2826"/>
      </w:tblGrid>
      <w:tr>
        <w:trPr/>
        <w:tc>
          <w:tcPr>
            <w:tcW w:w="14311" w:type="dxa"/>
            <w:gridSpan w:val="8"/>
            <w:tcBorders/>
            <w:shd w:color="auto" w:fill="A8D08D" w:themeFill="accent6" w:themeFillTint="99" w:val="clear"/>
          </w:tcPr>
          <w:p>
            <w:pPr>
              <w:pStyle w:val="Normal"/>
              <w:widowControl w:val="false"/>
              <w:suppressAutoHyphens w:val="true"/>
              <w:spacing w:lineRule="auto" w:line="240" w:before="0" w:after="120"/>
              <w:jc w:val="start"/>
              <w:rPr>
                <w:rFonts w:ascii="Tahoma" w:hAnsi="Tahoma" w:cs="Tahoma"/>
                <w:b/>
                <w:b/>
                <w:sz w:val="18"/>
                <w:szCs w:val="20"/>
                <w:lang w:val="sr-Latn-RS"/>
              </w:rPr>
            </w:pPr>
            <w:r>
              <w:rPr>
                <w:rFonts w:eastAsia="Calibri" w:cs="Tahoma" w:ascii="Tahoma" w:hAnsi="Tahoma"/>
                <w:b/>
                <w:kern w:val="2"/>
                <w:sz w:val="18"/>
                <w:szCs w:val="20"/>
                <w:lang w:val="en-US" w:eastAsia="en-US" w:bidi="ar-SA"/>
              </w:rPr>
              <w:t>МЕРА</w:t>
            </w:r>
            <w:r>
              <w:rPr>
                <w:rFonts w:eastAsia="Calibri" w:cs="Tahoma" w:ascii="Tahoma" w:hAnsi="Tahoma"/>
                <w:b/>
                <w:kern w:val="2"/>
                <w:sz w:val="18"/>
                <w:szCs w:val="20"/>
                <w:lang w:val="sr-Latn-RS" w:eastAsia="en-US" w:bidi="ar-SA"/>
              </w:rPr>
              <w:t xml:space="preserve"> 1.3: . </w:t>
            </w:r>
            <w:r>
              <w:rPr>
                <w:rFonts w:eastAsia="Times New Roman" w:cs="Tahoma" w:ascii="Tahoma" w:hAnsi="Tahoma"/>
                <w:b/>
                <w:kern w:val="2"/>
                <w:sz w:val="18"/>
                <w:szCs w:val="20"/>
                <w:lang w:val="en-US" w:eastAsia="sr-Latn-RS" w:bidi="ar-SA"/>
              </w:rPr>
              <w:t>Успостављање</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система</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за</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праћење</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и</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евалуацију</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ефеката</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локалне</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јавне</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политике</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у</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области</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социјалне</w:t>
            </w:r>
            <w:r>
              <w:rPr>
                <w:rFonts w:eastAsia="Times New Roman" w:cs="Tahoma" w:ascii="Tahoma" w:hAnsi="Tahoma"/>
                <w:b/>
                <w:kern w:val="2"/>
                <w:sz w:val="18"/>
                <w:szCs w:val="20"/>
                <w:lang w:val="sr-Latn-RS" w:eastAsia="sr-Latn-RS" w:bidi="ar-SA"/>
              </w:rPr>
              <w:t xml:space="preserve"> </w:t>
            </w:r>
            <w:r>
              <w:rPr>
                <w:rFonts w:eastAsia="Times New Roman" w:cs="Tahoma" w:ascii="Tahoma" w:hAnsi="Tahoma"/>
                <w:b/>
                <w:kern w:val="2"/>
                <w:sz w:val="18"/>
                <w:szCs w:val="20"/>
                <w:lang w:val="en-US" w:eastAsia="sr-Latn-RS" w:bidi="ar-SA"/>
              </w:rPr>
              <w:t>заштите</w:t>
            </w:r>
          </w:p>
        </w:tc>
      </w:tr>
      <w:tr>
        <w:trPr/>
        <w:tc>
          <w:tcPr>
            <w:tcW w:w="3938" w:type="dxa"/>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lang w:val="sr-Latn-RS"/>
              </w:rPr>
            </w:pPr>
            <w:r>
              <w:rPr>
                <w:rFonts w:eastAsia="Calibri" w:cs="Tahoma" w:ascii="Tahoma" w:hAnsi="Tahoma"/>
                <w:b/>
                <w:kern w:val="2"/>
                <w:sz w:val="18"/>
                <w:szCs w:val="20"/>
                <w:lang w:val="en-US" w:eastAsia="en-US" w:bidi="ar-SA"/>
              </w:rPr>
              <w:t>Организациона</w:t>
            </w:r>
            <w:r>
              <w:rPr>
                <w:rFonts w:eastAsia="Calibri" w:cs="Tahoma" w:ascii="Tahoma" w:hAnsi="Tahoma"/>
                <w:b/>
                <w:kern w:val="2"/>
                <w:sz w:val="18"/>
                <w:szCs w:val="20"/>
                <w:lang w:val="sr-Latn-RS" w:eastAsia="en-US" w:bidi="ar-SA"/>
              </w:rPr>
              <w:t xml:space="preserve"> </w:t>
            </w:r>
            <w:r>
              <w:rPr>
                <w:rFonts w:eastAsia="Calibri" w:cs="Tahoma" w:ascii="Tahoma" w:hAnsi="Tahoma"/>
                <w:b/>
                <w:kern w:val="2"/>
                <w:sz w:val="18"/>
                <w:szCs w:val="20"/>
                <w:lang w:val="en-US" w:eastAsia="en-US" w:bidi="ar-SA"/>
              </w:rPr>
              <w:t>јединица</w:t>
            </w:r>
            <w:r>
              <w:rPr>
                <w:rFonts w:eastAsia="Calibri" w:cs="Tahoma" w:ascii="Tahoma" w:hAnsi="Tahoma"/>
                <w:b/>
                <w:kern w:val="2"/>
                <w:sz w:val="18"/>
                <w:szCs w:val="20"/>
                <w:lang w:val="sr-Latn-RS" w:eastAsia="en-US" w:bidi="ar-SA"/>
              </w:rPr>
              <w:t xml:space="preserve"> </w:t>
            </w:r>
            <w:r>
              <w:rPr>
                <w:rFonts w:eastAsia="Calibri" w:cs="Tahoma" w:ascii="Tahoma" w:hAnsi="Tahoma"/>
                <w:b/>
                <w:kern w:val="2"/>
                <w:sz w:val="18"/>
                <w:szCs w:val="20"/>
                <w:lang w:val="en-US" w:eastAsia="en-US" w:bidi="ar-SA"/>
              </w:rPr>
              <w:t>одговорна</w:t>
            </w:r>
            <w:r>
              <w:rPr>
                <w:rFonts w:eastAsia="Calibri" w:cs="Tahoma" w:ascii="Tahoma" w:hAnsi="Tahoma"/>
                <w:b/>
                <w:kern w:val="2"/>
                <w:sz w:val="18"/>
                <w:szCs w:val="20"/>
                <w:lang w:val="sr-Latn-RS" w:eastAsia="en-US" w:bidi="ar-SA"/>
              </w:rPr>
              <w:t xml:space="preserve"> </w:t>
            </w:r>
            <w:r>
              <w:rPr>
                <w:rFonts w:eastAsia="Calibri" w:cs="Tahoma" w:ascii="Tahoma" w:hAnsi="Tahoma"/>
                <w:b/>
                <w:kern w:val="2"/>
                <w:sz w:val="18"/>
                <w:szCs w:val="20"/>
                <w:lang w:val="en-US" w:eastAsia="en-US" w:bidi="ar-SA"/>
              </w:rPr>
              <w:t>за</w:t>
            </w:r>
            <w:r>
              <w:rPr>
                <w:rFonts w:eastAsia="Calibri" w:cs="Tahoma" w:ascii="Tahoma" w:hAnsi="Tahoma"/>
                <w:b/>
                <w:kern w:val="2"/>
                <w:sz w:val="18"/>
                <w:szCs w:val="20"/>
                <w:lang w:val="sr-Latn-RS" w:eastAsia="en-US" w:bidi="ar-SA"/>
              </w:rPr>
              <w:t xml:space="preserve"> </w:t>
            </w:r>
            <w:r>
              <w:rPr>
                <w:rFonts w:eastAsia="Calibri" w:cs="Tahoma" w:ascii="Tahoma" w:hAnsi="Tahoma"/>
                <w:b/>
                <w:kern w:val="2"/>
                <w:sz w:val="18"/>
                <w:szCs w:val="20"/>
                <w:lang w:val="en-US" w:eastAsia="en-US" w:bidi="ar-SA"/>
              </w:rPr>
              <w:t>спровођење</w:t>
            </w:r>
            <w:r>
              <w:rPr>
                <w:rFonts w:eastAsia="Calibri" w:cs="Tahoma" w:ascii="Tahoma" w:hAnsi="Tahoma"/>
                <w:b/>
                <w:kern w:val="2"/>
                <w:sz w:val="18"/>
                <w:szCs w:val="20"/>
                <w:lang w:val="sr-Latn-RS" w:eastAsia="en-US" w:bidi="ar-SA"/>
              </w:rPr>
              <w:t xml:space="preserve"> (</w:t>
            </w:r>
            <w:r>
              <w:rPr>
                <w:rFonts w:eastAsia="Calibri" w:cs="Tahoma" w:ascii="Tahoma" w:hAnsi="Tahoma"/>
                <w:b/>
                <w:kern w:val="2"/>
                <w:sz w:val="18"/>
                <w:szCs w:val="20"/>
                <w:lang w:val="en-US" w:eastAsia="en-US" w:bidi="ar-SA"/>
              </w:rPr>
              <w:t>координисање</w:t>
            </w:r>
            <w:r>
              <w:rPr>
                <w:rFonts w:eastAsia="Calibri" w:cs="Tahoma" w:ascii="Tahoma" w:hAnsi="Tahoma"/>
                <w:b/>
                <w:kern w:val="2"/>
                <w:sz w:val="18"/>
                <w:szCs w:val="20"/>
                <w:lang w:val="sr-Latn-RS" w:eastAsia="en-US" w:bidi="ar-SA"/>
              </w:rPr>
              <w:t xml:space="preserve"> </w:t>
            </w:r>
            <w:r>
              <w:rPr>
                <w:rFonts w:eastAsia="Calibri" w:cs="Tahoma" w:ascii="Tahoma" w:hAnsi="Tahoma"/>
                <w:b/>
                <w:kern w:val="2"/>
                <w:sz w:val="18"/>
                <w:szCs w:val="20"/>
                <w:lang w:val="en-US" w:eastAsia="en-US" w:bidi="ar-SA"/>
              </w:rPr>
              <w:t>спровођења</w:t>
            </w:r>
            <w:r>
              <w:rPr>
                <w:rFonts w:eastAsia="Calibri" w:cs="Tahoma" w:ascii="Tahoma" w:hAnsi="Tahoma"/>
                <w:b/>
                <w:kern w:val="2"/>
                <w:sz w:val="18"/>
                <w:szCs w:val="20"/>
                <w:lang w:val="sr-Latn-RS" w:eastAsia="en-US" w:bidi="ar-SA"/>
              </w:rPr>
              <w:t xml:space="preserve">) </w:t>
            </w:r>
            <w:r>
              <w:rPr>
                <w:rFonts w:eastAsia="Calibri" w:cs="Tahoma" w:ascii="Tahoma" w:hAnsi="Tahoma"/>
                <w:b/>
                <w:kern w:val="2"/>
                <w:sz w:val="18"/>
                <w:szCs w:val="20"/>
                <w:lang w:val="en-US" w:eastAsia="en-US" w:bidi="ar-SA"/>
              </w:rPr>
              <w:t>мере</w:t>
            </w:r>
          </w:p>
        </w:tc>
        <w:tc>
          <w:tcPr>
            <w:tcW w:w="2333"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Извор финансирања</w:t>
            </w:r>
          </w:p>
        </w:tc>
        <w:tc>
          <w:tcPr>
            <w:tcW w:w="2284"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bCs/>
                <w:sz w:val="18"/>
                <w:szCs w:val="20"/>
              </w:rPr>
            </w:pPr>
            <w:r>
              <w:rPr>
                <w:rFonts w:eastAsia="Calibri" w:cs="Tahoma" w:ascii="Tahoma" w:hAnsi="Tahoma"/>
                <w:b/>
                <w:bCs/>
                <w:kern w:val="2"/>
                <w:sz w:val="18"/>
                <w:szCs w:val="20"/>
                <w:lang w:val="en-US" w:eastAsia="en-US" w:bidi="ar-SA"/>
              </w:rPr>
              <w:t xml:space="preserve">Веза са програмским буџетом </w:t>
            </w:r>
            <w:r>
              <w:rPr>
                <w:rFonts w:eastAsia="Calibri" w:cs="Tahoma" w:ascii="Tahoma" w:hAnsi="Tahoma"/>
                <w:b/>
                <w:bCs/>
                <w:i/>
                <w:iCs/>
                <w:kern w:val="2"/>
                <w:sz w:val="18"/>
                <w:szCs w:val="20"/>
                <w:lang w:val="en-US" w:eastAsia="en-US" w:bidi="ar-SA"/>
              </w:rPr>
              <w:t>(шифра ПР/ПА/ПЈ)</w:t>
            </w:r>
          </w:p>
        </w:tc>
        <w:tc>
          <w:tcPr>
            <w:tcW w:w="5756" w:type="dxa"/>
            <w:gridSpan w:val="3"/>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Укупно процењена финансијска средства по изворима финансирања у 000 РСД</w:t>
            </w:r>
            <w:r>
              <w:rPr>
                <w:rStyle w:val="FootnoteAnchor"/>
                <w:rFonts w:eastAsia="Calibri" w:cs="Tahoma" w:ascii="Tahoma" w:hAnsi="Tahoma"/>
                <w:b/>
                <w:kern w:val="2"/>
                <w:sz w:val="18"/>
                <w:szCs w:val="22"/>
                <w:lang w:val="en-US" w:eastAsia="en-US" w:bidi="ar-SA"/>
              </w:rPr>
              <w:footnoteReference w:id="77"/>
            </w:r>
          </w:p>
        </w:tc>
      </w:tr>
      <w:tr>
        <w:trPr/>
        <w:tc>
          <w:tcPr>
            <w:tcW w:w="3938" w:type="dxa"/>
            <w:vMerge w:val="continue"/>
            <w:tcBorders/>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2333"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2284"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w:t>
            </w:r>
          </w:p>
        </w:tc>
        <w:tc>
          <w:tcPr>
            <w:tcW w:w="146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w:t>
            </w:r>
          </w:p>
        </w:tc>
        <w:tc>
          <w:tcPr>
            <w:tcW w:w="282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w:t>
            </w:r>
          </w:p>
        </w:tc>
      </w:tr>
      <w:tr>
        <w:trPr/>
        <w:tc>
          <w:tcPr>
            <w:tcW w:w="3938" w:type="dxa"/>
            <w:vMerge w:val="restart"/>
            <w:tcBorders/>
            <w:shd w:color="auto" w:fill="auto" w:val="clea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bCs/>
                <w:kern w:val="2"/>
                <w:sz w:val="18"/>
                <w:szCs w:val="20"/>
                <w:lang w:val="en-US" w:eastAsia="en-US" w:bidi="ar-SA"/>
              </w:rPr>
              <w:t>Скупштина општине</w:t>
            </w:r>
          </w:p>
        </w:tc>
        <w:tc>
          <w:tcPr>
            <w:tcW w:w="2333" w:type="dxa"/>
            <w:gridSpan w:val="2"/>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2284" w:type="dxa"/>
            <w:gridSpan w:val="2"/>
            <w:vMerge w:val="restart"/>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2101-0001</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50</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w:t>
            </w:r>
          </w:p>
        </w:tc>
        <w:tc>
          <w:tcPr>
            <w:tcW w:w="2826"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200</w:t>
            </w:r>
          </w:p>
        </w:tc>
      </w:tr>
      <w:tr>
        <w:trPr/>
        <w:tc>
          <w:tcPr>
            <w:tcW w:w="3938" w:type="dxa"/>
            <w:vMerge w:val="continue"/>
            <w:tcBorders/>
            <w:shd w:color="auto" w:fill="auto" w:val="clear"/>
          </w:tcPr>
          <w:p>
            <w:pPr>
              <w:pStyle w:val="Normal"/>
              <w:widowControl w:val="false"/>
              <w:suppressAutoHyphens w:val="true"/>
              <w:spacing w:lineRule="auto" w:line="240" w:before="60" w:after="60"/>
              <w:jc w:val="start"/>
              <w:rPr>
                <w:rFonts w:ascii="Tahoma" w:hAnsi="Tahoma" w:cs="Tahoma"/>
                <w:bCs/>
                <w:sz w:val="18"/>
                <w:szCs w:val="20"/>
              </w:rPr>
            </w:pPr>
            <w:r>
              <w:rPr>
                <w:rFonts w:cs="Tahoma" w:ascii="Tahoma" w:hAnsi="Tahoma"/>
                <w:bCs/>
                <w:sz w:val="18"/>
                <w:szCs w:val="20"/>
              </w:rPr>
            </w:r>
          </w:p>
        </w:tc>
        <w:tc>
          <w:tcPr>
            <w:tcW w:w="2333" w:type="dxa"/>
            <w:gridSpan w:val="2"/>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07-средства другог нивоа власти</w:t>
            </w:r>
          </w:p>
        </w:tc>
        <w:tc>
          <w:tcPr>
            <w:tcW w:w="2284" w:type="dxa"/>
            <w:gridSpan w:val="2"/>
            <w:vMerge w:val="continue"/>
            <w:tcBorders/>
            <w:shd w:color="auto" w:fill="auto"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w:t>
            </w:r>
          </w:p>
        </w:tc>
        <w:tc>
          <w:tcPr>
            <w:tcW w:w="2826" w:type="dxa"/>
            <w:tcBorders/>
            <w:shd w:color="auto" w:fill="auto" w:val="clear"/>
            <w:vAlign w:val="cente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300</w:t>
            </w:r>
          </w:p>
        </w:tc>
      </w:tr>
      <w:tr>
        <w:trPr/>
        <w:tc>
          <w:tcPr>
            <w:tcW w:w="6271" w:type="dxa"/>
            <w:gridSpan w:val="3"/>
            <w:tcBorders/>
            <w:shd w:color="auto" w:fill="C5E0B3" w:themeFill="accent6" w:themeFillTint="66" w:val="clea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b/>
                <w:kern w:val="2"/>
                <w:sz w:val="18"/>
                <w:szCs w:val="20"/>
                <w:lang w:val="en-US" w:eastAsia="en-US" w:bidi="ar-SA"/>
              </w:rPr>
              <w:t>Период спровођења мере: 2025-2027</w:t>
            </w:r>
          </w:p>
        </w:tc>
        <w:tc>
          <w:tcPr>
            <w:tcW w:w="8040" w:type="dxa"/>
            <w:gridSpan w:val="5"/>
            <w:tcBorders/>
            <w:shd w:color="auto" w:fill="C5E0B3" w:themeFill="accent6" w:themeFillTint="66" w:val="clea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b/>
                <w:kern w:val="2"/>
                <w:sz w:val="18"/>
                <w:szCs w:val="20"/>
                <w:lang w:val="en-US" w:eastAsia="en-US" w:bidi="ar-SA"/>
              </w:rPr>
              <w:t>Тип мере</w:t>
            </w:r>
            <w:r>
              <w:rPr>
                <w:rStyle w:val="FootnoteAnchor"/>
                <w:rFonts w:eastAsia="Calibri" w:cs="Arial"/>
                <w:bCs/>
                <w:kern w:val="2"/>
                <w:sz w:val="22"/>
                <w:szCs w:val="20"/>
                <w:lang w:val="en-US" w:eastAsia="en-US" w:bidi="ar-SA"/>
              </w:rPr>
              <w:footnoteReference w:id="78"/>
            </w:r>
            <w:r>
              <w:rPr>
                <w:rFonts w:eastAsia="Calibri" w:cs="Tahoma" w:ascii="Tahoma" w:hAnsi="Tahoma"/>
                <w:bCs/>
                <w:kern w:val="2"/>
                <w:sz w:val="18"/>
                <w:szCs w:val="20"/>
                <w:lang w:val="en-US" w:eastAsia="en-US" w:bidi="ar-SA"/>
              </w:rPr>
              <w:t xml:space="preserve">:  </w:t>
            </w:r>
            <w:r>
              <w:rPr>
                <w:rFonts w:eastAsia="Calibri" w:cs="Tahoma" w:ascii="Tahoma" w:hAnsi="Tahoma"/>
                <w:b/>
                <w:bCs/>
                <w:kern w:val="2"/>
                <w:sz w:val="18"/>
                <w:szCs w:val="20"/>
                <w:lang w:val="en-US" w:eastAsia="en-US" w:bidi="ar-SA"/>
              </w:rPr>
              <w:t>праћење и евалуација</w:t>
            </w:r>
          </w:p>
        </w:tc>
      </w:tr>
      <w:tr>
        <w:trPr/>
        <w:tc>
          <w:tcPr>
            <w:tcW w:w="14311" w:type="dxa"/>
            <w:gridSpan w:val="8"/>
            <w:tcBorders/>
            <w:shd w:color="auto" w:fill="C5E0B3" w:themeFill="accent6" w:themeFillTint="66" w:val="clear"/>
          </w:tcPr>
          <w:p>
            <w:pPr>
              <w:pStyle w:val="Normal"/>
              <w:widowControl w:val="false"/>
              <w:suppressAutoHyphens w:val="true"/>
              <w:spacing w:lineRule="auto" w:line="240" w:before="0" w:after="0"/>
              <w:jc w:val="start"/>
              <w:rPr>
                <w:rFonts w:ascii="Tahoma" w:hAnsi="Tahoma" w:cs="Tahoma"/>
                <w:bCs/>
                <w:sz w:val="18"/>
                <w:szCs w:val="20"/>
              </w:rPr>
            </w:pPr>
            <w:r>
              <w:rPr>
                <w:rFonts w:eastAsia="Calibri" w:cs="Tahoma" w:ascii="Tahoma" w:hAnsi="Tahoma"/>
                <w:bCs/>
                <w:kern w:val="2"/>
                <w:sz w:val="18"/>
                <w:szCs w:val="20"/>
                <w:lang w:val="en-US" w:eastAsia="en-US" w:bidi="ar-SA"/>
              </w:rPr>
              <w:t xml:space="preserve">Прописи које је потребно изменити/усвојити за спровођење мере: </w:t>
            </w:r>
            <w:r>
              <w:rPr>
                <w:rFonts w:eastAsia="Times New Roman" w:cs="Tahoma" w:ascii="Tahoma" w:hAnsi="Tahoma"/>
                <w:kern w:val="2"/>
                <w:sz w:val="18"/>
                <w:szCs w:val="20"/>
                <w:lang w:val="en-US" w:eastAsia="sr-Latn-RS" w:bidi="ar-SA"/>
              </w:rPr>
              <w:t xml:space="preserve">Одлука о именовању тела за имплементацију и праћење Програма унапређења социјалне заштите у  општини </w:t>
            </w:r>
            <w:r>
              <w:rPr>
                <w:rFonts w:eastAsia="Times New Roman" w:cs="Tahoma" w:ascii="Tahoma" w:hAnsi="Tahoma"/>
                <w:kern w:val="2"/>
                <w:sz w:val="18"/>
                <w:szCs w:val="20"/>
                <w:lang w:val="sr-RS" w:eastAsia="sr-Latn-RS" w:bidi="ar-SA"/>
              </w:rPr>
              <w:t>Б</w:t>
            </w:r>
            <w:r>
              <w:rPr>
                <w:rFonts w:eastAsia="Times New Roman" w:cs="Tahoma" w:ascii="Tahoma" w:hAnsi="Tahoma"/>
                <w:kern w:val="2"/>
                <w:sz w:val="18"/>
                <w:szCs w:val="20"/>
                <w:lang w:val="en-US" w:eastAsia="sr-Latn-RS" w:bidi="ar-SA"/>
              </w:rPr>
              <w:t>еочин</w:t>
            </w:r>
          </w:p>
          <w:p>
            <w:pPr>
              <w:pStyle w:val="Normal"/>
              <w:widowControl w:val="false"/>
              <w:suppressAutoHyphens w:val="true"/>
              <w:spacing w:lineRule="auto" w:line="240" w:before="0" w:after="0"/>
              <w:jc w:val="start"/>
              <w:rPr>
                <w:rFonts w:ascii="Tahoma" w:hAnsi="Tahoma" w:cs="Tahoma"/>
                <w:bCs/>
                <w:sz w:val="18"/>
                <w:szCs w:val="20"/>
              </w:rPr>
            </w:pPr>
            <w:r>
              <w:rPr>
                <w:rFonts w:cs="Tahoma" w:ascii="Tahoma" w:hAnsi="Tahoma"/>
                <w:bCs/>
                <w:sz w:val="18"/>
                <w:szCs w:val="20"/>
              </w:rPr>
            </w:r>
          </w:p>
        </w:tc>
      </w:tr>
      <w:tr>
        <w:trPr/>
        <w:tc>
          <w:tcPr>
            <w:tcW w:w="3938" w:type="dxa"/>
            <w:tcBorders/>
            <w:shd w:color="auto" w:fill="D9E2F3" w:themeFill="accent1" w:themeFillTint="33" w:val="clear"/>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b/>
                <w:kern w:val="2"/>
                <w:sz w:val="18"/>
                <w:szCs w:val="20"/>
                <w:lang w:val="en-US" w:eastAsia="en-US" w:bidi="ar-SA"/>
              </w:rPr>
              <w:t>Показатељ(и) на нивоу мере</w:t>
            </w:r>
          </w:p>
        </w:tc>
        <w:tc>
          <w:tcPr>
            <w:tcW w:w="1599"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Jединица мере</w:t>
            </w:r>
          </w:p>
        </w:tc>
        <w:tc>
          <w:tcPr>
            <w:tcW w:w="1438" w:type="dxa"/>
            <w:gridSpan w:val="2"/>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Извор провере</w:t>
            </w:r>
          </w:p>
        </w:tc>
        <w:tc>
          <w:tcPr>
            <w:tcW w:w="158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Почетна вредност са базном годином</w:t>
            </w:r>
          </w:p>
        </w:tc>
        <w:tc>
          <w:tcPr>
            <w:tcW w:w="1464"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2025</w:t>
            </w:r>
          </w:p>
        </w:tc>
        <w:tc>
          <w:tcPr>
            <w:tcW w:w="146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2026</w:t>
            </w:r>
          </w:p>
        </w:tc>
        <w:tc>
          <w:tcPr>
            <w:tcW w:w="282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2027</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Број годишњих наративних и финансијских извештаја пружалаца услга социјалне заштите</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38" w:type="dxa"/>
            <w:gridSpan w:val="2"/>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Уговори са пружаоцима услуга</w:t>
            </w:r>
          </w:p>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Извештаји пружалаца услуга</w:t>
            </w:r>
          </w:p>
        </w:tc>
        <w:tc>
          <w:tcPr>
            <w:tcW w:w="158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Не (2024)</w:t>
            </w:r>
          </w:p>
        </w:tc>
        <w:tc>
          <w:tcPr>
            <w:tcW w:w="146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c>
          <w:tcPr>
            <w:tcW w:w="146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c>
          <w:tcPr>
            <w:tcW w:w="282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Израђена анализа ефеката</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Да/Не</w:t>
            </w:r>
          </w:p>
        </w:tc>
        <w:tc>
          <w:tcPr>
            <w:tcW w:w="1438" w:type="dxa"/>
            <w:gridSpan w:val="2"/>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Извештај о анализи</w:t>
            </w:r>
          </w:p>
        </w:tc>
        <w:tc>
          <w:tcPr>
            <w:tcW w:w="158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Не (2024)</w:t>
            </w:r>
          </w:p>
        </w:tc>
        <w:tc>
          <w:tcPr>
            <w:tcW w:w="146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Не</w:t>
            </w:r>
          </w:p>
        </w:tc>
        <w:tc>
          <w:tcPr>
            <w:tcW w:w="146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Не</w:t>
            </w:r>
          </w:p>
        </w:tc>
        <w:tc>
          <w:tcPr>
            <w:tcW w:w="282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Да</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Број спроведених мониторинга и оцене задовољства корисника услугама социјалне заштите</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38" w:type="dxa"/>
            <w:gridSpan w:val="2"/>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Извештаји из мониторинга и извештаји о оцени задовољства корисника</w:t>
            </w:r>
          </w:p>
        </w:tc>
        <w:tc>
          <w:tcPr>
            <w:tcW w:w="158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0 (2024)</w:t>
            </w:r>
          </w:p>
        </w:tc>
        <w:tc>
          <w:tcPr>
            <w:tcW w:w="146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c>
          <w:tcPr>
            <w:tcW w:w="146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c>
          <w:tcPr>
            <w:tcW w:w="282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r>
    </w:tbl>
    <w:p>
      <w:pPr>
        <w:pStyle w:val="Normal"/>
        <w:rPr>
          <w:rFonts w:ascii="Tahoma" w:hAnsi="Tahoma" w:cs="Tahoma"/>
          <w:sz w:val="20"/>
        </w:rPr>
      </w:pPr>
      <w:r>
        <w:rPr>
          <w:rFonts w:cs="Tahoma" w:ascii="Tahoma" w:hAnsi="Tahoma"/>
          <w:sz w:val="20"/>
        </w:rPr>
      </w:r>
    </w:p>
    <w:tbl>
      <w:tblPr>
        <w:tblStyle w:val="TableGrid"/>
        <w:tblW w:w="14311"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2571"/>
        <w:gridCol w:w="1743"/>
        <w:gridCol w:w="1427"/>
        <w:gridCol w:w="1417"/>
        <w:gridCol w:w="1627"/>
        <w:gridCol w:w="1521"/>
        <w:gridCol w:w="1335"/>
        <w:gridCol w:w="1353"/>
        <w:gridCol w:w="1315"/>
      </w:tblGrid>
      <w:tr>
        <w:trPr>
          <w:trHeight w:val="853" w:hRule="atLeast"/>
        </w:trPr>
        <w:tc>
          <w:tcPr>
            <w:tcW w:w="2571" w:type="dxa"/>
            <w:vMerge w:val="restart"/>
            <w:tcBorders/>
            <w:shd w:color="auto" w:fill="FFFFCC" w:val="clear"/>
            <w:vAlign w:val="center"/>
          </w:tcPr>
          <w:p>
            <w:pPr>
              <w:pStyle w:val="Normal"/>
              <w:widowControl w:val="false"/>
              <w:suppressAutoHyphens w:val="true"/>
              <w:spacing w:lineRule="auto" w:line="240" w:before="60" w:after="60"/>
              <w:jc w:val="start"/>
              <w:rPr>
                <w:rFonts w:ascii="Tahoma" w:hAnsi="Tahoma" w:cs="Tahoma"/>
                <w:b/>
                <w:b/>
                <w:spacing w:val="-8"/>
                <w:sz w:val="18"/>
                <w:szCs w:val="20"/>
              </w:rPr>
            </w:pPr>
            <w:r>
              <w:rPr>
                <w:rFonts w:eastAsia="Calibri" w:cs="Tahoma" w:ascii="Tahoma" w:hAnsi="Tahoma"/>
                <w:b/>
                <w:spacing w:val="-8"/>
                <w:kern w:val="2"/>
                <w:sz w:val="18"/>
                <w:szCs w:val="20"/>
                <w:lang w:val="en-US" w:eastAsia="en-US" w:bidi="ar-SA"/>
              </w:rPr>
              <w:t>Назив активности</w:t>
            </w:r>
          </w:p>
        </w:tc>
        <w:tc>
          <w:tcPr>
            <w:tcW w:w="1743"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Организациона јединица која спроводи активност</w:t>
            </w:r>
          </w:p>
        </w:tc>
        <w:tc>
          <w:tcPr>
            <w:tcW w:w="14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Партнери у спровођењу активности</w:t>
            </w:r>
          </w:p>
        </w:tc>
        <w:tc>
          <w:tcPr>
            <w:tcW w:w="141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Рок за завршетак активности </w:t>
            </w:r>
            <w:r>
              <w:rPr>
                <w:rFonts w:eastAsia="Calibri" w:cs="Tahoma" w:ascii="Tahoma" w:hAnsi="Tahoma"/>
                <w:i/>
                <w:spacing w:val="-8"/>
                <w:kern w:val="2"/>
                <w:sz w:val="18"/>
                <w:szCs w:val="20"/>
                <w:lang w:val="en-US" w:eastAsia="en-US" w:bidi="ar-SA"/>
              </w:rPr>
              <w:t>(квартал, година)</w:t>
            </w:r>
          </w:p>
        </w:tc>
        <w:tc>
          <w:tcPr>
            <w:tcW w:w="16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Извор финансирања</w:t>
            </w:r>
          </w:p>
        </w:tc>
        <w:tc>
          <w:tcPr>
            <w:tcW w:w="1521"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Веза са програмским буџетом </w:t>
            </w:r>
            <w:r>
              <w:rPr>
                <w:rFonts w:eastAsia="Calibri" w:cs="Tahoma" w:ascii="Tahoma" w:hAnsi="Tahoma"/>
                <w:i/>
                <w:spacing w:val="-8"/>
                <w:kern w:val="2"/>
                <w:sz w:val="18"/>
                <w:szCs w:val="20"/>
                <w:lang w:val="en-US" w:eastAsia="en-US" w:bidi="ar-SA"/>
              </w:rPr>
              <w:t>(шифра ПР/ПА/ПЈ)</w:t>
            </w:r>
          </w:p>
        </w:tc>
        <w:tc>
          <w:tcPr>
            <w:tcW w:w="4003" w:type="dxa"/>
            <w:gridSpan w:val="3"/>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Укупно процењена финансијска средства по изворима финансирања у 000 РСД</w:t>
            </w:r>
          </w:p>
        </w:tc>
      </w:tr>
      <w:tr>
        <w:trPr>
          <w:trHeight w:val="144" w:hRule="atLeast"/>
        </w:trPr>
        <w:tc>
          <w:tcPr>
            <w:tcW w:w="2571" w:type="dxa"/>
            <w:vMerge w:val="continue"/>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cs="Tahoma" w:ascii="Tahoma" w:hAnsi="Tahoma"/>
                <w:spacing w:val="-8"/>
                <w:sz w:val="18"/>
                <w:szCs w:val="20"/>
              </w:rPr>
            </w:r>
          </w:p>
        </w:tc>
        <w:tc>
          <w:tcPr>
            <w:tcW w:w="1743"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1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6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521"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33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 година</w:t>
            </w:r>
          </w:p>
        </w:tc>
        <w:tc>
          <w:tcPr>
            <w:tcW w:w="1353"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 година</w:t>
            </w:r>
          </w:p>
        </w:tc>
        <w:tc>
          <w:tcPr>
            <w:tcW w:w="131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 година</w:t>
            </w:r>
          </w:p>
        </w:tc>
      </w:tr>
      <w:tr>
        <w:trPr>
          <w:trHeight w:val="359" w:hRule="atLeast"/>
        </w:trPr>
        <w:tc>
          <w:tcPr>
            <w:tcW w:w="2571" w:type="dxa"/>
            <w:tcBorders/>
            <w:vAlign w:val="center"/>
          </w:tcPr>
          <w:p>
            <w:pPr>
              <w:pStyle w:val="Normal"/>
              <w:widowControl w:val="false"/>
              <w:suppressAutoHyphens w:val="true"/>
              <w:spacing w:lineRule="auto" w:line="240" w:before="0" w:after="120"/>
              <w:jc w:val="start"/>
              <w:rPr>
                <w:rFonts w:ascii="Tahoma" w:hAnsi="Tahoma" w:cs="Tahoma"/>
                <w:sz w:val="18"/>
                <w:szCs w:val="20"/>
              </w:rPr>
            </w:pPr>
            <w:r>
              <w:rPr>
                <w:rFonts w:eastAsia="Times New Roman" w:cs="Tahoma" w:ascii="Tahoma" w:hAnsi="Tahoma"/>
                <w:kern w:val="2"/>
                <w:sz w:val="18"/>
                <w:szCs w:val="20"/>
                <w:lang w:val="en-US" w:eastAsia="sr-Latn-RS" w:bidi="ar-SA"/>
              </w:rPr>
              <w:t>1.3.1. Израда формулара за извештавање пружалаца услуга</w:t>
            </w:r>
          </w:p>
        </w:tc>
        <w:tc>
          <w:tcPr>
            <w:tcW w:w="1743" w:type="dxa"/>
            <w:tcBorders/>
            <w:vAlign w:val="center"/>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Tahoma" w:ascii="Tahoma" w:hAnsi="Tahoma"/>
                <w:kern w:val="2"/>
                <w:sz w:val="18"/>
                <w:szCs w:val="24"/>
                <w:lang w:val="ru-RU" w:eastAsia="en-US" w:bidi="ar-SA"/>
              </w:rPr>
              <w:t>Одељење за имовинске, опште и заједничке послове</w:t>
            </w:r>
          </w:p>
          <w:p>
            <w:pPr>
              <w:pStyle w:val="Normal"/>
              <w:widowControl w:val="false"/>
              <w:suppressAutoHyphens w:val="true"/>
              <w:spacing w:lineRule="auto" w:line="240" w:before="0" w:after="0"/>
              <w:jc w:val="start"/>
              <w:rPr>
                <w:rFonts w:ascii="Tahoma" w:hAnsi="Tahoma" w:cs="Tahoma"/>
                <w:spacing w:val="-8"/>
                <w:sz w:val="18"/>
                <w:szCs w:val="20"/>
                <w:highlight w:val="yellow"/>
                <w:lang w:val="ru-RU"/>
              </w:rPr>
            </w:pPr>
            <w:r>
              <w:rPr>
                <w:rFonts w:cs="Tahoma" w:ascii="Tahoma" w:hAnsi="Tahoma"/>
                <w:spacing w:val="-8"/>
                <w:sz w:val="18"/>
                <w:szCs w:val="20"/>
                <w:highlight w:val="yellow"/>
                <w:lang w:val="ru-RU"/>
              </w:rPr>
            </w:r>
          </w:p>
        </w:tc>
        <w:tc>
          <w:tcPr>
            <w:tcW w:w="1427" w:type="dxa"/>
            <w:tcBorders/>
            <w:vAlign w:val="center"/>
          </w:tcPr>
          <w:p>
            <w:pPr>
              <w:pStyle w:val="Normal"/>
              <w:widowControl w:val="false"/>
              <w:suppressAutoHyphens w:val="true"/>
              <w:spacing w:lineRule="auto" w:line="240" w:before="60" w:after="60"/>
              <w:jc w:val="center"/>
              <w:rPr>
                <w:lang w:val="ru-RU"/>
              </w:rPr>
            </w:pPr>
            <w:r>
              <w:rPr>
                <w:rFonts w:eastAsia="Calibri" w:cs="Tahoma" w:ascii="Tahoma" w:hAnsi="Tahoma"/>
                <w:spacing w:val="-8"/>
                <w:kern w:val="2"/>
                <w:sz w:val="18"/>
                <w:szCs w:val="20"/>
                <w:lang w:val="ru-RU" w:eastAsia="en-US" w:bidi="ar-SA"/>
              </w:rPr>
              <w:t>Општинско веће општине Беочин</w:t>
            </w:r>
          </w:p>
          <w:p>
            <w:pPr>
              <w:pStyle w:val="Normal"/>
              <w:widowControl w:val="false"/>
              <w:suppressAutoHyphens w:val="true"/>
              <w:spacing w:lineRule="auto" w:line="240" w:before="60" w:after="60"/>
              <w:jc w:val="center"/>
              <w:rPr>
                <w:lang w:val="ru-RU"/>
              </w:rPr>
            </w:pPr>
            <w:r>
              <w:rPr>
                <w:rFonts w:eastAsia="Calibri" w:cs="Tahoma" w:ascii="Tahoma" w:hAnsi="Tahoma"/>
                <w:spacing w:val="-8"/>
                <w:kern w:val="2"/>
                <w:sz w:val="18"/>
                <w:szCs w:val="20"/>
                <w:lang w:val="ru-RU" w:eastAsia="en-US" w:bidi="ar-SA"/>
              </w:rPr>
              <w:t>СКГО</w:t>
            </w:r>
          </w:p>
          <w:p>
            <w:pPr>
              <w:pStyle w:val="Normal"/>
              <w:widowControl w:val="false"/>
              <w:suppressAutoHyphens w:val="true"/>
              <w:spacing w:lineRule="auto" w:line="240" w:before="60" w:after="60"/>
              <w:jc w:val="center"/>
              <w:rPr>
                <w:lang w:val="ru-RU"/>
              </w:rPr>
            </w:pPr>
            <w:r>
              <w:rPr>
                <w:rFonts w:eastAsia="Calibri" w:cs="Tahoma" w:ascii="Tahoma" w:hAnsi="Tahoma"/>
                <w:spacing w:val="-8"/>
                <w:kern w:val="2"/>
                <w:sz w:val="18"/>
                <w:szCs w:val="20"/>
                <w:lang w:val="ru-RU" w:eastAsia="en-US" w:bidi="ar-SA"/>
              </w:rPr>
              <w:t>Локалне установе и ОЦД</w:t>
            </w:r>
          </w:p>
        </w:tc>
        <w:tc>
          <w:tcPr>
            <w:tcW w:w="1417" w:type="dxa"/>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eastAsia="Calibri" w:cs="Tahoma" w:ascii="Tahoma" w:hAnsi="Tahoma"/>
                <w:spacing w:val="-8"/>
                <w:kern w:val="2"/>
                <w:sz w:val="18"/>
                <w:szCs w:val="20"/>
                <w:lang w:val="en-US" w:eastAsia="en-US" w:bidi="ar-SA"/>
              </w:rPr>
              <w:t>3. квартал 2025</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kern w:val="2"/>
                <w:sz w:val="18"/>
                <w:szCs w:val="20"/>
                <w:lang w:val="en-US" w:eastAsia="en-US" w:bidi="ar-SA"/>
              </w:rPr>
              <w:t>01-средства из буџета ЈЛС</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2101-0001</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50</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r>
      <w:tr>
        <w:trPr>
          <w:trHeight w:val="370" w:hRule="atLeast"/>
        </w:trPr>
        <w:tc>
          <w:tcPr>
            <w:tcW w:w="2571" w:type="dxa"/>
            <w:tcBorders/>
            <w:vAlign w:val="center"/>
          </w:tcPr>
          <w:p>
            <w:pPr>
              <w:pStyle w:val="Normal"/>
              <w:widowControl w:val="false"/>
              <w:suppressAutoHyphens w:val="true"/>
              <w:spacing w:lineRule="auto" w:line="240" w:before="0" w:after="120"/>
              <w:jc w:val="start"/>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1.3.2.  А</w:t>
            </w:r>
            <w:r>
              <w:rPr>
                <w:rFonts w:eastAsia="Times New Roman" w:cs="Tahoma" w:ascii="Tahoma" w:hAnsi="Tahoma"/>
                <w:kern w:val="2"/>
                <w:sz w:val="18"/>
                <w:szCs w:val="20"/>
                <w:lang w:val="en-US" w:eastAsia="sr-Latn-RS" w:bidi="ar-SA"/>
              </w:rPr>
              <w:t>нализа ефеката првог акционог плана за имплементацију програма унапређење социјалне заштите у општини Беочин за период 2025-2027</w:t>
            </w:r>
          </w:p>
          <w:p>
            <w:pPr>
              <w:pStyle w:val="Normal"/>
              <w:widowControl w:val="false"/>
              <w:suppressAutoHyphens w:val="true"/>
              <w:spacing w:lineRule="auto" w:line="240" w:before="0" w:after="0"/>
              <w:jc w:val="start"/>
              <w:rPr>
                <w:rFonts w:ascii="Tahoma" w:hAnsi="Tahoma" w:cs="Tahoma"/>
                <w:sz w:val="18"/>
                <w:szCs w:val="20"/>
              </w:rPr>
            </w:pPr>
            <w:r>
              <w:rPr>
                <w:rFonts w:cs="Tahoma" w:ascii="Tahoma" w:hAnsi="Tahoma"/>
                <w:sz w:val="18"/>
                <w:szCs w:val="20"/>
              </w:rPr>
            </w:r>
          </w:p>
        </w:tc>
        <w:tc>
          <w:tcPr>
            <w:tcW w:w="1743" w:type="dxa"/>
            <w:tcBorders/>
            <w:vAlign w:val="center"/>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Савет за социјалну политику</w:t>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Општинска управа, ЦСР, пружаоци услуга, ОЦД</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3. квартал 2027</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Из редовне делатности</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2101-0001</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200</w:t>
            </w:r>
          </w:p>
        </w:tc>
      </w:tr>
      <w:tr>
        <w:trPr>
          <w:trHeight w:val="370" w:hRule="atLeast"/>
        </w:trPr>
        <w:tc>
          <w:tcPr>
            <w:tcW w:w="2571" w:type="dxa"/>
            <w:tcBorders/>
            <w:vAlign w:val="center"/>
          </w:tcPr>
          <w:p>
            <w:pPr>
              <w:pStyle w:val="Normal"/>
              <w:widowControl w:val="false"/>
              <w:suppressAutoHyphens w:val="true"/>
              <w:spacing w:lineRule="auto" w:line="240" w:before="0" w:after="120"/>
              <w:jc w:val="start"/>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1.3.3. Спровођење мониторинга пружања услуга и оцене задовољства корисника једном годишње</w:t>
            </w:r>
          </w:p>
        </w:tc>
        <w:tc>
          <w:tcPr>
            <w:tcW w:w="1743" w:type="dxa"/>
            <w:tcBorders/>
            <w:vAlign w:val="center"/>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Tahoma" w:ascii="Tahoma" w:hAnsi="Tahoma"/>
                <w:kern w:val="2"/>
                <w:sz w:val="18"/>
                <w:szCs w:val="24"/>
                <w:lang w:val="ru-RU" w:eastAsia="en-US" w:bidi="ar-SA"/>
              </w:rPr>
              <w:t>Одељење за имовинске, опште и заједничке послове</w:t>
            </w:r>
          </w:p>
          <w:p>
            <w:pPr>
              <w:pStyle w:val="Normal"/>
              <w:widowControl w:val="false"/>
              <w:suppressAutoHyphens w:val="true"/>
              <w:spacing w:lineRule="auto" w:line="240" w:before="0" w:after="0"/>
              <w:jc w:val="start"/>
              <w:rPr>
                <w:rFonts w:ascii="Tahoma" w:hAnsi="Tahoma" w:cs="Tahoma"/>
                <w:spacing w:val="-8"/>
                <w:sz w:val="18"/>
                <w:szCs w:val="20"/>
              </w:rPr>
            </w:pPr>
            <w:r>
              <w:rPr>
                <w:rFonts w:cs="Tahoma" w:ascii="Tahoma" w:hAnsi="Tahoma"/>
                <w:spacing w:val="-8"/>
                <w:sz w:val="18"/>
                <w:szCs w:val="20"/>
              </w:rPr>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Општинска управа, ЦСР, пружаоци услуга, ОЦД</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Из редовне делатности</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highlight w:val="yellow"/>
              </w:rPr>
            </w:pPr>
            <w:r>
              <w:rPr>
                <w:rFonts w:eastAsia="Calibri" w:cs="Tahoma" w:ascii="Tahoma" w:hAnsi="Tahoma"/>
                <w:spacing w:val="-8"/>
                <w:kern w:val="2"/>
                <w:sz w:val="18"/>
                <w:szCs w:val="20"/>
                <w:lang w:val="en-US" w:eastAsia="en-US" w:bidi="ar-SA"/>
              </w:rPr>
              <w:t>2101-0001</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300</w:t>
            </w:r>
          </w:p>
        </w:tc>
      </w:tr>
    </w:tbl>
    <w:p>
      <w:pPr>
        <w:pStyle w:val="Normal"/>
        <w:ind w:firstLine="720"/>
        <w:jc w:val="both"/>
        <w:rPr>
          <w:rFonts w:ascii="Tahoma" w:hAnsi="Tahoma" w:eastAsia="Times New Roman" w:cs="Tahoma"/>
          <w:i/>
          <w:i/>
          <w:kern w:val="0"/>
          <w:sz w:val="16"/>
          <w:szCs w:val="18"/>
          <w14:ligatures w14:val="none"/>
        </w:rPr>
      </w:pPr>
      <w:r>
        <w:rPr>
          <w:rFonts w:eastAsia="Times New Roman" w:cs="Tahoma" w:ascii="Tahoma" w:hAnsi="Tahoma"/>
          <w:i/>
          <w:kern w:val="0"/>
          <w:sz w:val="16"/>
          <w:szCs w:val="18"/>
          <w14:ligatures w14:val="none"/>
        </w:rPr>
      </w:r>
    </w:p>
    <w:tbl>
      <w:tblPr>
        <w:tblStyle w:val="TableGrid"/>
        <w:tblW w:w="14312"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3938"/>
        <w:gridCol w:w="1599"/>
        <w:gridCol w:w="734"/>
        <w:gridCol w:w="704"/>
        <w:gridCol w:w="1580"/>
        <w:gridCol w:w="1464"/>
        <w:gridCol w:w="1466"/>
        <w:gridCol w:w="2826"/>
      </w:tblGrid>
      <w:tr>
        <w:trPr/>
        <w:tc>
          <w:tcPr>
            <w:tcW w:w="14311" w:type="dxa"/>
            <w:gridSpan w:val="8"/>
            <w:tcBorders/>
            <w:shd w:color="auto" w:fill="A8D08D" w:themeFill="accent6" w:themeFillTint="99" w:val="clear"/>
          </w:tcPr>
          <w:p>
            <w:pPr>
              <w:pStyle w:val="Normal"/>
              <w:widowControl w:val="false"/>
              <w:suppressAutoHyphens w:val="true"/>
              <w:spacing w:lineRule="auto" w:line="240" w:before="0" w:after="120"/>
              <w:jc w:val="start"/>
              <w:rPr>
                <w:rFonts w:ascii="Tahoma" w:hAnsi="Tahoma" w:cs="Tahoma"/>
                <w:b/>
                <w:b/>
                <w:sz w:val="18"/>
                <w:szCs w:val="20"/>
              </w:rPr>
            </w:pPr>
            <w:r>
              <w:rPr>
                <w:rFonts w:eastAsia="Calibri" w:cs="Tahoma" w:ascii="Tahoma" w:hAnsi="Tahoma"/>
                <w:b/>
                <w:kern w:val="2"/>
                <w:sz w:val="18"/>
                <w:szCs w:val="20"/>
                <w:lang w:val="en-US" w:eastAsia="en-US" w:bidi="ar-SA"/>
              </w:rPr>
              <w:t>МЕРА 1.4. Неговање сарадње и п</w:t>
            </w:r>
            <w:r>
              <w:rPr>
                <w:rFonts w:eastAsia="Times New Roman" w:cs="Tahoma" w:ascii="Tahoma" w:hAnsi="Tahoma"/>
                <w:b/>
                <w:kern w:val="2"/>
                <w:sz w:val="18"/>
                <w:szCs w:val="20"/>
                <w:lang w:val="en-US" w:eastAsia="sr-Latn-RS" w:bidi="ar-SA"/>
              </w:rPr>
              <w:t>артнерства са другим општинама и актерима у систему социјалне заштите ради размене добрих пракси</w:t>
            </w:r>
          </w:p>
        </w:tc>
      </w:tr>
      <w:tr>
        <w:trPr/>
        <w:tc>
          <w:tcPr>
            <w:tcW w:w="3938" w:type="dxa"/>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Организациона јединица одговорна за спровођење (координисање спровођења) мере</w:t>
            </w:r>
          </w:p>
        </w:tc>
        <w:tc>
          <w:tcPr>
            <w:tcW w:w="2333"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Извор финансирања</w:t>
            </w:r>
          </w:p>
        </w:tc>
        <w:tc>
          <w:tcPr>
            <w:tcW w:w="2284"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bCs/>
                <w:sz w:val="18"/>
                <w:szCs w:val="20"/>
              </w:rPr>
            </w:pPr>
            <w:r>
              <w:rPr>
                <w:rFonts w:eastAsia="Calibri" w:cs="Tahoma" w:ascii="Tahoma" w:hAnsi="Tahoma"/>
                <w:b/>
                <w:bCs/>
                <w:kern w:val="2"/>
                <w:sz w:val="18"/>
                <w:szCs w:val="20"/>
                <w:lang w:val="en-US" w:eastAsia="en-US" w:bidi="ar-SA"/>
              </w:rPr>
              <w:t xml:space="preserve">Веза са програмским буџетом </w:t>
            </w:r>
            <w:r>
              <w:rPr>
                <w:rFonts w:eastAsia="Calibri" w:cs="Tahoma" w:ascii="Tahoma" w:hAnsi="Tahoma"/>
                <w:b/>
                <w:bCs/>
                <w:i/>
                <w:iCs/>
                <w:kern w:val="2"/>
                <w:sz w:val="18"/>
                <w:szCs w:val="20"/>
                <w:lang w:val="en-US" w:eastAsia="en-US" w:bidi="ar-SA"/>
              </w:rPr>
              <w:t>(шифра ПР/ПА/ПЈ)</w:t>
            </w:r>
          </w:p>
        </w:tc>
        <w:tc>
          <w:tcPr>
            <w:tcW w:w="5756" w:type="dxa"/>
            <w:gridSpan w:val="3"/>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Укупно процењена финансијска средства по изворима финансирања у 000 РСД</w:t>
            </w:r>
            <w:r>
              <w:rPr>
                <w:rStyle w:val="FootnoteAnchor"/>
                <w:rFonts w:eastAsia="Calibri" w:cs="Tahoma" w:ascii="Tahoma" w:hAnsi="Tahoma"/>
                <w:b/>
                <w:kern w:val="2"/>
                <w:sz w:val="18"/>
                <w:szCs w:val="22"/>
                <w:lang w:val="en-US" w:eastAsia="en-US" w:bidi="ar-SA"/>
              </w:rPr>
              <w:footnoteReference w:id="79"/>
            </w:r>
          </w:p>
        </w:tc>
      </w:tr>
      <w:tr>
        <w:trPr/>
        <w:tc>
          <w:tcPr>
            <w:tcW w:w="3938" w:type="dxa"/>
            <w:vMerge w:val="continue"/>
            <w:tcBorders/>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2333"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2284"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w:t>
            </w:r>
          </w:p>
        </w:tc>
        <w:tc>
          <w:tcPr>
            <w:tcW w:w="146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w:t>
            </w:r>
          </w:p>
        </w:tc>
        <w:tc>
          <w:tcPr>
            <w:tcW w:w="282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w:t>
            </w:r>
          </w:p>
        </w:tc>
      </w:tr>
      <w:tr>
        <w:trPr/>
        <w:tc>
          <w:tcPr>
            <w:tcW w:w="3938" w:type="dxa"/>
            <w:vMerge w:val="restart"/>
            <w:tcBorders/>
            <w:shd w:color="auto" w:fill="auto" w:val="clear"/>
          </w:tcPr>
          <w:p>
            <w:pPr>
              <w:pStyle w:val="Normal"/>
              <w:widowControl w:val="false"/>
              <w:suppressAutoHyphens w:val="true"/>
              <w:spacing w:lineRule="auto" w:line="240" w:before="60" w:after="60"/>
              <w:jc w:val="start"/>
              <w:rPr>
                <w:rFonts w:ascii="Tahoma" w:hAnsi="Tahoma" w:cs="Tahoma"/>
                <w:bCs/>
                <w:sz w:val="18"/>
                <w:szCs w:val="20"/>
              </w:rPr>
            </w:pPr>
            <w:r>
              <w:rPr>
                <w:rFonts w:eastAsia="Calibri" w:cs="Tahoma" w:ascii="Tahoma" w:hAnsi="Tahoma"/>
                <w:bCs/>
                <w:kern w:val="2"/>
                <w:sz w:val="18"/>
                <w:szCs w:val="20"/>
                <w:lang w:val="en-US" w:eastAsia="en-US" w:bidi="ar-SA"/>
              </w:rPr>
              <w:t>Општинска управа</w:t>
            </w:r>
          </w:p>
        </w:tc>
        <w:tc>
          <w:tcPr>
            <w:tcW w:w="2333" w:type="dxa"/>
            <w:gridSpan w:val="2"/>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2284" w:type="dxa"/>
            <w:gridSpan w:val="2"/>
            <w:vMerge w:val="restart"/>
            <w:tcBorders/>
            <w:shd w:color="auto" w:fill="auto" w:val="clear"/>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0902-0016</w:t>
            </w:r>
          </w:p>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0902-0019</w:t>
            </w:r>
          </w:p>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0902-0001</w:t>
            </w:r>
          </w:p>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0902-0005</w:t>
            </w:r>
          </w:p>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0602-0001</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0</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100</w:t>
            </w:r>
          </w:p>
        </w:tc>
        <w:tc>
          <w:tcPr>
            <w:tcW w:w="2826" w:type="dxa"/>
            <w:tcBorders/>
            <w:shd w:color="auto" w:fill="auto" w:val="clear"/>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300</w:t>
            </w:r>
          </w:p>
        </w:tc>
      </w:tr>
      <w:tr>
        <w:trPr/>
        <w:tc>
          <w:tcPr>
            <w:tcW w:w="3938" w:type="dxa"/>
            <w:vMerge w:val="continue"/>
            <w:tcBorders/>
            <w:shd w:color="auto" w:fill="auto" w:val="clear"/>
          </w:tcPr>
          <w:p>
            <w:pPr>
              <w:pStyle w:val="Normal"/>
              <w:widowControl w:val="false"/>
              <w:suppressAutoHyphens w:val="true"/>
              <w:spacing w:lineRule="auto" w:line="240" w:before="60" w:after="60"/>
              <w:jc w:val="start"/>
              <w:rPr>
                <w:rFonts w:ascii="Tahoma" w:hAnsi="Tahoma" w:cs="Tahoma"/>
                <w:bCs/>
                <w:sz w:val="18"/>
                <w:szCs w:val="20"/>
              </w:rPr>
            </w:pPr>
            <w:r>
              <w:rPr>
                <w:rFonts w:cs="Tahoma" w:ascii="Tahoma" w:hAnsi="Tahoma"/>
                <w:bCs/>
                <w:sz w:val="18"/>
                <w:szCs w:val="20"/>
              </w:rPr>
            </w:r>
          </w:p>
        </w:tc>
        <w:tc>
          <w:tcPr>
            <w:tcW w:w="2333" w:type="dxa"/>
            <w:gridSpan w:val="2"/>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07-средства другог нивоа власти</w:t>
            </w:r>
          </w:p>
        </w:tc>
        <w:tc>
          <w:tcPr>
            <w:tcW w:w="2284" w:type="dxa"/>
            <w:gridSpan w:val="2"/>
            <w:vMerge w:val="continue"/>
            <w:tcBorders/>
            <w:shd w:color="auto" w:fill="auto"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300</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200</w:t>
            </w:r>
          </w:p>
        </w:tc>
        <w:tc>
          <w:tcPr>
            <w:tcW w:w="2826" w:type="dxa"/>
            <w:tcBorders/>
            <w:shd w:color="auto" w:fill="auto" w:val="clear"/>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0</w:t>
            </w:r>
          </w:p>
        </w:tc>
      </w:tr>
      <w:tr>
        <w:trPr/>
        <w:tc>
          <w:tcPr>
            <w:tcW w:w="6271" w:type="dxa"/>
            <w:gridSpan w:val="3"/>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Период спровођења мере: 2025-2027</w:t>
            </w:r>
          </w:p>
        </w:tc>
        <w:tc>
          <w:tcPr>
            <w:tcW w:w="8040" w:type="dxa"/>
            <w:gridSpan w:val="5"/>
            <w:tcBorders/>
            <w:shd w:color="auto" w:fill="C5E0B3" w:themeFill="accent6" w:themeFillTint="66" w:val="clea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b/>
                <w:kern w:val="2"/>
                <w:sz w:val="18"/>
                <w:szCs w:val="20"/>
                <w:lang w:val="en-US" w:eastAsia="en-US" w:bidi="ar-SA"/>
              </w:rPr>
              <w:t>Тип мере</w:t>
            </w:r>
            <w:r>
              <w:rPr>
                <w:rStyle w:val="FootnoteAnchor"/>
                <w:rFonts w:eastAsia="Calibri" w:cs="Tahoma" w:ascii="Tahoma" w:hAnsi="Tahoma"/>
                <w:b/>
                <w:kern w:val="2"/>
                <w:sz w:val="18"/>
                <w:szCs w:val="22"/>
                <w:lang w:val="en-US" w:eastAsia="en-US" w:bidi="ar-SA"/>
              </w:rPr>
              <w:footnoteReference w:id="80"/>
            </w:r>
            <w:r>
              <w:rPr>
                <w:rFonts w:eastAsia="Calibri" w:cs="Tahoma" w:ascii="Tahoma" w:hAnsi="Tahoma"/>
                <w:b/>
                <w:kern w:val="2"/>
                <w:sz w:val="18"/>
                <w:szCs w:val="20"/>
                <w:lang w:val="en-US" w:eastAsia="en-US" w:bidi="ar-SA"/>
              </w:rPr>
              <w:t>: Информативно-едукативна</w:t>
            </w:r>
          </w:p>
        </w:tc>
      </w:tr>
      <w:tr>
        <w:trPr/>
        <w:tc>
          <w:tcPr>
            <w:tcW w:w="14311" w:type="dxa"/>
            <w:gridSpan w:val="8"/>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Cs/>
                <w:sz w:val="18"/>
                <w:szCs w:val="20"/>
              </w:rPr>
            </w:pPr>
            <w:r>
              <w:rPr>
                <w:rFonts w:eastAsia="Calibri" w:cs="Tahoma" w:ascii="Tahoma" w:hAnsi="Tahoma"/>
                <w:bCs/>
                <w:kern w:val="2"/>
                <w:sz w:val="18"/>
                <w:szCs w:val="20"/>
                <w:lang w:val="en-US" w:eastAsia="en-US" w:bidi="ar-SA"/>
              </w:rPr>
              <w:t xml:space="preserve">Прописи које је потребно изменити/усвојити за спровођење мере: </w:t>
            </w:r>
            <w:r>
              <w:rPr>
                <w:rFonts w:eastAsia="Calibri" w:cs="Tahoma" w:ascii="Tahoma" w:hAnsi="Tahoma"/>
                <w:bCs/>
                <w:i/>
                <w:iCs/>
                <w:kern w:val="2"/>
                <w:sz w:val="18"/>
                <w:szCs w:val="20"/>
                <w:lang w:val="en-US" w:eastAsia="en-US" w:bidi="ar-SA"/>
              </w:rPr>
              <w:t>н/п</w:t>
            </w:r>
          </w:p>
        </w:tc>
      </w:tr>
      <w:tr>
        <w:trPr/>
        <w:tc>
          <w:tcPr>
            <w:tcW w:w="3938" w:type="dxa"/>
            <w:tcBorders/>
            <w:shd w:color="auto" w:fill="D9E2F3" w:themeFill="accent1" w:themeFillTint="33" w:val="clear"/>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b/>
                <w:kern w:val="2"/>
                <w:sz w:val="18"/>
                <w:szCs w:val="20"/>
                <w:lang w:val="en-US" w:eastAsia="en-US" w:bidi="ar-SA"/>
              </w:rPr>
              <w:t>Показатељ(и) на нивоу мере</w:t>
            </w:r>
          </w:p>
        </w:tc>
        <w:tc>
          <w:tcPr>
            <w:tcW w:w="1599"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Jединица мере</w:t>
            </w:r>
          </w:p>
        </w:tc>
        <w:tc>
          <w:tcPr>
            <w:tcW w:w="1438" w:type="dxa"/>
            <w:gridSpan w:val="2"/>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Извор провере</w:t>
            </w:r>
          </w:p>
        </w:tc>
        <w:tc>
          <w:tcPr>
            <w:tcW w:w="158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Почетна вредност са базном годином</w:t>
            </w:r>
          </w:p>
        </w:tc>
        <w:tc>
          <w:tcPr>
            <w:tcW w:w="1464"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2025</w:t>
            </w:r>
          </w:p>
        </w:tc>
        <w:tc>
          <w:tcPr>
            <w:tcW w:w="146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2026</w:t>
            </w:r>
          </w:p>
        </w:tc>
        <w:tc>
          <w:tcPr>
            <w:tcW w:w="282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2027</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Број стручних скупова на којима су учествовали представници општине Беочин</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38" w:type="dxa"/>
            <w:gridSpan w:val="2"/>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Извештаји Општинске управе</w:t>
            </w:r>
          </w:p>
        </w:tc>
        <w:tc>
          <w:tcPr>
            <w:tcW w:w="1580"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2024</w:t>
            </w:r>
          </w:p>
        </w:tc>
        <w:tc>
          <w:tcPr>
            <w:tcW w:w="146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c>
          <w:tcPr>
            <w:tcW w:w="146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c>
          <w:tcPr>
            <w:tcW w:w="282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Број ЈЛС са којима је успостављена сарадња у размени добрих пракси у области  социјалне заштите</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38" w:type="dxa"/>
            <w:gridSpan w:val="2"/>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Извештаји Општинске управе</w:t>
            </w:r>
          </w:p>
        </w:tc>
        <w:tc>
          <w:tcPr>
            <w:tcW w:w="1580"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2024</w:t>
            </w:r>
          </w:p>
        </w:tc>
        <w:tc>
          <w:tcPr>
            <w:tcW w:w="146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w:t>
            </w:r>
          </w:p>
        </w:tc>
        <w:tc>
          <w:tcPr>
            <w:tcW w:w="146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w:t>
            </w:r>
          </w:p>
        </w:tc>
        <w:tc>
          <w:tcPr>
            <w:tcW w:w="282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Број одржаних координационих састанака локалних актера</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38" w:type="dxa"/>
            <w:gridSpan w:val="2"/>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Записници са састанака</w:t>
            </w:r>
          </w:p>
        </w:tc>
        <w:tc>
          <w:tcPr>
            <w:tcW w:w="1580"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2024</w:t>
            </w:r>
          </w:p>
        </w:tc>
        <w:tc>
          <w:tcPr>
            <w:tcW w:w="146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c>
          <w:tcPr>
            <w:tcW w:w="146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c>
          <w:tcPr>
            <w:tcW w:w="282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2</w:t>
            </w:r>
          </w:p>
        </w:tc>
      </w:tr>
    </w:tbl>
    <w:p>
      <w:pPr>
        <w:pStyle w:val="Normal"/>
        <w:rPr>
          <w:rFonts w:ascii="Tahoma" w:hAnsi="Tahoma" w:cs="Tahoma"/>
          <w:sz w:val="20"/>
        </w:rPr>
      </w:pPr>
      <w:r>
        <w:rPr>
          <w:rFonts w:cs="Tahoma" w:ascii="Tahoma" w:hAnsi="Tahoma"/>
          <w:sz w:val="20"/>
        </w:rPr>
      </w:r>
    </w:p>
    <w:tbl>
      <w:tblPr>
        <w:tblStyle w:val="TableGrid"/>
        <w:tblW w:w="14311"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2571"/>
        <w:gridCol w:w="1743"/>
        <w:gridCol w:w="1427"/>
        <w:gridCol w:w="1417"/>
        <w:gridCol w:w="1627"/>
        <w:gridCol w:w="1521"/>
        <w:gridCol w:w="1335"/>
        <w:gridCol w:w="1353"/>
        <w:gridCol w:w="1315"/>
      </w:tblGrid>
      <w:tr>
        <w:trPr>
          <w:trHeight w:val="853" w:hRule="atLeast"/>
        </w:trPr>
        <w:tc>
          <w:tcPr>
            <w:tcW w:w="2571" w:type="dxa"/>
            <w:vMerge w:val="restart"/>
            <w:tcBorders/>
            <w:shd w:color="auto" w:fill="FFFFCC" w:val="clear"/>
            <w:vAlign w:val="center"/>
          </w:tcPr>
          <w:p>
            <w:pPr>
              <w:pStyle w:val="Normal"/>
              <w:widowControl w:val="false"/>
              <w:suppressAutoHyphens w:val="true"/>
              <w:spacing w:lineRule="auto" w:line="240" w:before="60" w:after="60"/>
              <w:jc w:val="start"/>
              <w:rPr>
                <w:rFonts w:ascii="Tahoma" w:hAnsi="Tahoma" w:cs="Tahoma"/>
                <w:b/>
                <w:b/>
                <w:spacing w:val="-8"/>
                <w:sz w:val="18"/>
                <w:szCs w:val="20"/>
              </w:rPr>
            </w:pPr>
            <w:r>
              <w:rPr>
                <w:rFonts w:eastAsia="Calibri" w:cs="Tahoma" w:ascii="Tahoma" w:hAnsi="Tahoma"/>
                <w:b/>
                <w:spacing w:val="-8"/>
                <w:kern w:val="2"/>
                <w:sz w:val="18"/>
                <w:szCs w:val="20"/>
                <w:lang w:val="en-US" w:eastAsia="en-US" w:bidi="ar-SA"/>
              </w:rPr>
              <w:t>Назив активности</w:t>
            </w:r>
          </w:p>
        </w:tc>
        <w:tc>
          <w:tcPr>
            <w:tcW w:w="1743"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Организациона јединица која спроводи активност</w:t>
            </w:r>
          </w:p>
        </w:tc>
        <w:tc>
          <w:tcPr>
            <w:tcW w:w="14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Партнери у спровођењу активности</w:t>
            </w:r>
          </w:p>
        </w:tc>
        <w:tc>
          <w:tcPr>
            <w:tcW w:w="141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Рок за завршетак активности </w:t>
            </w:r>
            <w:r>
              <w:rPr>
                <w:rFonts w:eastAsia="Calibri" w:cs="Tahoma" w:ascii="Tahoma" w:hAnsi="Tahoma"/>
                <w:i/>
                <w:spacing w:val="-8"/>
                <w:kern w:val="2"/>
                <w:sz w:val="18"/>
                <w:szCs w:val="20"/>
                <w:lang w:val="en-US" w:eastAsia="en-US" w:bidi="ar-SA"/>
              </w:rPr>
              <w:t>(квартал, година)</w:t>
            </w:r>
          </w:p>
        </w:tc>
        <w:tc>
          <w:tcPr>
            <w:tcW w:w="16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Извор финансирања</w:t>
            </w:r>
          </w:p>
        </w:tc>
        <w:tc>
          <w:tcPr>
            <w:tcW w:w="1521"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Веза са програмским буџетом </w:t>
            </w:r>
            <w:r>
              <w:rPr>
                <w:rFonts w:eastAsia="Calibri" w:cs="Tahoma" w:ascii="Tahoma" w:hAnsi="Tahoma"/>
                <w:i/>
                <w:spacing w:val="-8"/>
                <w:kern w:val="2"/>
                <w:sz w:val="18"/>
                <w:szCs w:val="20"/>
                <w:lang w:val="en-US" w:eastAsia="en-US" w:bidi="ar-SA"/>
              </w:rPr>
              <w:t>(шифра ПР/ПА/ПЈ)</w:t>
            </w:r>
          </w:p>
        </w:tc>
        <w:tc>
          <w:tcPr>
            <w:tcW w:w="4003" w:type="dxa"/>
            <w:gridSpan w:val="3"/>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Укупно процењена финансијска средства по изворима финансирања у 000 РСД</w:t>
            </w:r>
          </w:p>
        </w:tc>
      </w:tr>
      <w:tr>
        <w:trPr>
          <w:trHeight w:val="144" w:hRule="atLeast"/>
        </w:trPr>
        <w:tc>
          <w:tcPr>
            <w:tcW w:w="2571" w:type="dxa"/>
            <w:vMerge w:val="continue"/>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cs="Tahoma" w:ascii="Tahoma" w:hAnsi="Tahoma"/>
                <w:spacing w:val="-8"/>
                <w:sz w:val="18"/>
                <w:szCs w:val="20"/>
              </w:rPr>
            </w:r>
          </w:p>
        </w:tc>
        <w:tc>
          <w:tcPr>
            <w:tcW w:w="1743"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1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6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521"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33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 година</w:t>
            </w:r>
          </w:p>
        </w:tc>
        <w:tc>
          <w:tcPr>
            <w:tcW w:w="1353"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 година</w:t>
            </w:r>
          </w:p>
        </w:tc>
        <w:tc>
          <w:tcPr>
            <w:tcW w:w="131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 година</w:t>
            </w:r>
          </w:p>
        </w:tc>
      </w:tr>
      <w:tr>
        <w:trPr>
          <w:trHeight w:val="359" w:hRule="atLeast"/>
        </w:trPr>
        <w:tc>
          <w:tcPr>
            <w:tcW w:w="2571" w:type="dxa"/>
            <w:tcBorders/>
            <w:vAlign w:val="center"/>
          </w:tcPr>
          <w:p>
            <w:pPr>
              <w:pStyle w:val="Normal"/>
              <w:widowControl w:val="false"/>
              <w:suppressAutoHyphens w:val="true"/>
              <w:spacing w:lineRule="auto" w:line="240" w:before="0" w:after="0"/>
              <w:jc w:val="start"/>
              <w:rPr>
                <w:rFonts w:ascii="Tahoma" w:hAnsi="Tahoma" w:cs="Tahoma"/>
                <w:spacing w:val="-8"/>
                <w:sz w:val="18"/>
                <w:szCs w:val="20"/>
              </w:rPr>
            </w:pPr>
            <w:r>
              <w:rPr>
                <w:rFonts w:eastAsia="Calibri" w:cs="Tahoma" w:ascii="Tahoma" w:hAnsi="Tahoma"/>
                <w:kern w:val="2"/>
                <w:sz w:val="18"/>
                <w:szCs w:val="20"/>
                <w:lang w:val="en-US" w:eastAsia="en-US" w:bidi="ar-SA"/>
              </w:rPr>
              <w:t>1.4.1. Учешће на стручним скуповима у области  социјалне заштите</w:t>
            </w:r>
          </w:p>
        </w:tc>
        <w:tc>
          <w:tcPr>
            <w:tcW w:w="174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Општинска управа</w:t>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Друге ЈЛС</w:t>
            </w:r>
          </w:p>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ЦСР</w:t>
            </w:r>
          </w:p>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ОЦД</w:t>
            </w:r>
          </w:p>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Савет за социјалну политику</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07-средства другог нивоа власти</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0602-0001</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200</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200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200</w:t>
            </w:r>
          </w:p>
        </w:tc>
      </w:tr>
      <w:tr>
        <w:trPr>
          <w:trHeight w:val="359" w:hRule="atLeast"/>
        </w:trPr>
        <w:tc>
          <w:tcPr>
            <w:tcW w:w="2571" w:type="dxa"/>
            <w:tcBorders/>
            <w:vAlign w:val="center"/>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Tahoma" w:ascii="Tahoma" w:hAnsi="Tahoma"/>
                <w:kern w:val="2"/>
                <w:sz w:val="18"/>
                <w:szCs w:val="20"/>
                <w:lang w:val="sr-Latn-RS" w:eastAsia="en-US" w:bidi="ar-SA"/>
              </w:rPr>
              <w:t xml:space="preserve">1.4.2. </w:t>
            </w:r>
            <w:r>
              <w:rPr>
                <w:rFonts w:eastAsia="Calibri" w:cs="Tahoma" w:ascii="Tahoma" w:hAnsi="Tahoma"/>
                <w:kern w:val="2"/>
                <w:sz w:val="18"/>
                <w:szCs w:val="20"/>
                <w:lang w:val="en-US" w:eastAsia="en-US" w:bidi="ar-SA"/>
              </w:rPr>
              <w:t>Одржавање полугодишњих локалних састанака међу установама и ОЦД ради размене информација и побољшања координације активности у области унапређења социјалне заштите</w:t>
            </w:r>
          </w:p>
        </w:tc>
        <w:tc>
          <w:tcPr>
            <w:tcW w:w="1743"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Савет за социјалну политику</w:t>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Одељење за имовинске, опште и заједничке поослове, ИРК, школе, ЦК, ЦСР, ОЦД</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p>
            <w:pPr>
              <w:pStyle w:val="Normal"/>
              <w:widowControl w:val="false"/>
              <w:suppressAutoHyphens w:val="true"/>
              <w:spacing w:lineRule="auto" w:line="240" w:before="60" w:after="60"/>
              <w:jc w:val="center"/>
              <w:rPr>
                <w:rFonts w:ascii="Tahoma" w:hAnsi="Tahoma" w:cs="Tahoma"/>
                <w:spacing w:val="-8"/>
                <w:sz w:val="18"/>
                <w:szCs w:val="20"/>
                <w:highlight w:val="yellow"/>
              </w:rPr>
            </w:pPr>
            <w:r>
              <w:rPr>
                <w:rFonts w:eastAsia="Calibri" w:cs="Tahoma" w:ascii="Tahoma" w:hAnsi="Tahoma"/>
                <w:spacing w:val="-8"/>
                <w:kern w:val="2"/>
                <w:sz w:val="18"/>
                <w:szCs w:val="20"/>
                <w:lang w:val="en-US" w:eastAsia="en-US" w:bidi="ar-SA"/>
              </w:rPr>
              <w:t>07-средства другог нивоа власти</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highlight w:val="yellow"/>
              </w:rPr>
            </w:pPr>
            <w:r>
              <w:rPr>
                <w:rFonts w:eastAsia="Calibri" w:cs="Tahoma" w:ascii="Tahoma" w:hAnsi="Tahoma"/>
                <w:spacing w:val="-8"/>
                <w:kern w:val="2"/>
                <w:sz w:val="18"/>
                <w:szCs w:val="20"/>
                <w:lang w:val="en-US" w:eastAsia="en-US" w:bidi="ar-SA"/>
              </w:rPr>
              <w:t>0602-0001</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w:t>
            </w:r>
          </w:p>
        </w:tc>
      </w:tr>
    </w:tbl>
    <w:p>
      <w:pPr>
        <w:pStyle w:val="Normal"/>
        <w:rPr>
          <w:rFonts w:ascii="Tahoma" w:hAnsi="Tahoma" w:cs="Tahoma"/>
          <w:sz w:val="20"/>
        </w:rPr>
      </w:pPr>
      <w:r>
        <w:rPr>
          <w:rFonts w:cs="Tahoma" w:ascii="Tahoma" w:hAnsi="Tahoma"/>
          <w:sz w:val="20"/>
        </w:rPr>
      </w:r>
    </w:p>
    <w:tbl>
      <w:tblPr>
        <w:tblStyle w:val="TableGrid"/>
        <w:tblW w:w="14459" w:type="dxa"/>
        <w:jc w:val="start"/>
        <w:tblInd w:w="-714" w:type="dxa"/>
        <w:tblLayout w:type="fixed"/>
        <w:tblCellMar>
          <w:top w:w="0" w:type="dxa"/>
          <w:start w:w="108" w:type="dxa"/>
          <w:bottom w:w="0" w:type="dxa"/>
          <w:end w:w="108" w:type="dxa"/>
        </w:tblCellMar>
        <w:tblLook w:firstRow="1" w:noVBand="1" w:lastRow="0" w:firstColumn="1" w:lastColumn="0" w:noHBand="0" w:val="04a0"/>
      </w:tblPr>
      <w:tblGrid>
        <w:gridCol w:w="4130"/>
        <w:gridCol w:w="1482"/>
        <w:gridCol w:w="1445"/>
        <w:gridCol w:w="1473"/>
        <w:gridCol w:w="1670"/>
        <w:gridCol w:w="1987"/>
        <w:gridCol w:w="2271"/>
      </w:tblGrid>
      <w:tr>
        <w:trPr/>
        <w:tc>
          <w:tcPr>
            <w:tcW w:w="14458" w:type="dxa"/>
            <w:gridSpan w:val="7"/>
            <w:tcBorders/>
            <w:shd w:color="auto" w:fill="C9C9C9" w:themeFill="accent3" w:themeFillTint="99" w:val="clear"/>
          </w:tcPr>
          <w:p>
            <w:pPr>
              <w:pStyle w:val="Normal"/>
              <w:widowControl w:val="false"/>
              <w:suppressAutoHyphens w:val="true"/>
              <w:spacing w:lineRule="auto" w:line="240" w:before="0" w:after="0"/>
              <w:jc w:val="start"/>
              <w:rPr>
                <w:rFonts w:ascii="Tahoma" w:hAnsi="Tahoma" w:cs="Tahoma"/>
                <w:b/>
                <w:b/>
                <w:sz w:val="18"/>
                <w:szCs w:val="20"/>
              </w:rPr>
            </w:pPr>
            <w:r>
              <w:rPr>
                <w:rFonts w:eastAsia="Calibri" w:cs="Tahoma" w:ascii="Tahoma" w:hAnsi="Tahoma"/>
                <w:b/>
                <w:kern w:val="2"/>
                <w:sz w:val="18"/>
                <w:szCs w:val="20"/>
                <w:lang w:val="en-US" w:eastAsia="en-US" w:bidi="ar-SA"/>
              </w:rPr>
              <w:t>ПОСЕБНИ ЦИЉ 2:</w:t>
            </w:r>
            <w:r>
              <w:rPr>
                <w:rFonts w:eastAsia="Calibri" w:cs="Tahoma" w:ascii="Tahoma" w:hAnsi="Tahoma"/>
                <w:b/>
                <w:kern w:val="2"/>
                <w:sz w:val="22"/>
                <w:szCs w:val="22"/>
                <w:lang w:val="en-US" w:eastAsia="en-US" w:bidi="ar-SA"/>
              </w:rPr>
              <w:t xml:space="preserve"> </w:t>
            </w:r>
            <w:r>
              <w:rPr>
                <w:rFonts w:eastAsia="Times New Roman" w:cs="Tahoma" w:ascii="Tahoma" w:hAnsi="Tahoma"/>
                <w:b/>
                <w:bCs/>
                <w:kern w:val="2"/>
                <w:sz w:val="20"/>
                <w:szCs w:val="20"/>
                <w:lang w:val="en-US" w:eastAsia="sr-Latn-RS" w:bidi="ar-SA"/>
              </w:rPr>
              <w:t>Повећање доступности и обухвата услуга социјалне заштите за рањиве групе.</w:t>
            </w:r>
          </w:p>
        </w:tc>
      </w:tr>
      <w:tr>
        <w:trPr/>
        <w:tc>
          <w:tcPr>
            <w:tcW w:w="14458" w:type="dxa"/>
            <w:gridSpan w:val="7"/>
            <w:tcBorders/>
            <w:shd w:color="auto" w:fill="DBDBDB" w:themeFill="accent3" w:themeFillTint="66" w:val="clea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b/>
                <w:kern w:val="2"/>
                <w:sz w:val="18"/>
                <w:szCs w:val="20"/>
                <w:lang w:val="en-US" w:eastAsia="en-US" w:bidi="ar-SA"/>
              </w:rPr>
              <w:t>Организациона јединица одговорна за спровођење (координисање спровођења) посебног циља: Општинска управа</w:t>
            </w:r>
          </w:p>
        </w:tc>
      </w:tr>
      <w:tr>
        <w:trPr/>
        <w:tc>
          <w:tcPr>
            <w:tcW w:w="4130" w:type="dxa"/>
            <w:tcBorders/>
            <w:shd w:color="auto" w:fill="D9E2F3" w:themeFill="accent1" w:themeFillTint="33" w:val="clear"/>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b/>
                <w:kern w:val="2"/>
                <w:sz w:val="18"/>
                <w:szCs w:val="20"/>
                <w:lang w:val="en-US" w:eastAsia="en-US" w:bidi="ar-SA"/>
              </w:rPr>
              <w:t>Показатељ(и) на нивоу посебног циља</w:t>
            </w:r>
          </w:p>
        </w:tc>
        <w:tc>
          <w:tcPr>
            <w:tcW w:w="1482"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Jединица мере</w:t>
            </w:r>
          </w:p>
        </w:tc>
        <w:tc>
          <w:tcPr>
            <w:tcW w:w="1445"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Извор провере</w:t>
            </w:r>
          </w:p>
        </w:tc>
        <w:tc>
          <w:tcPr>
            <w:tcW w:w="1473"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Почетна вредност са базном годином</w:t>
            </w:r>
          </w:p>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2023</w:t>
            </w:r>
          </w:p>
        </w:tc>
        <w:tc>
          <w:tcPr>
            <w:tcW w:w="167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2025</w:t>
            </w:r>
          </w:p>
        </w:tc>
        <w:tc>
          <w:tcPr>
            <w:tcW w:w="1987"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2026</w:t>
            </w:r>
          </w:p>
        </w:tc>
        <w:tc>
          <w:tcPr>
            <w:tcW w:w="2271"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2027</w:t>
            </w:r>
          </w:p>
        </w:tc>
      </w:tr>
      <w:tr>
        <w:trPr/>
        <w:tc>
          <w:tcPr>
            <w:tcW w:w="4130"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Укупан број корисника локалних услуга социјалне заштите у општини Беочин</w:t>
            </w:r>
          </w:p>
        </w:tc>
        <w:tc>
          <w:tcPr>
            <w:tcW w:w="1482"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45"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Извештаји општинске управе, ЦСР и пружалаца услуга</w:t>
            </w:r>
          </w:p>
        </w:tc>
        <w:tc>
          <w:tcPr>
            <w:tcW w:w="1473"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10 (ЛПД)</w:t>
            </w:r>
          </w:p>
        </w:tc>
        <w:tc>
          <w:tcPr>
            <w:tcW w:w="1670"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51</w:t>
            </w:r>
          </w:p>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1987"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51</w:t>
            </w:r>
          </w:p>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2271"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52</w:t>
            </w:r>
          </w:p>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r>
    </w:tbl>
    <w:p>
      <w:pPr>
        <w:pStyle w:val="Normal"/>
        <w:rPr>
          <w:rFonts w:ascii="Tahoma" w:hAnsi="Tahoma" w:cs="Tahoma"/>
          <w:sz w:val="20"/>
        </w:rPr>
      </w:pPr>
      <w:r>
        <w:rPr>
          <w:rFonts w:cs="Tahoma" w:ascii="Tahoma" w:hAnsi="Tahoma"/>
          <w:sz w:val="20"/>
        </w:rPr>
      </w:r>
    </w:p>
    <w:p>
      <w:pPr>
        <w:pStyle w:val="Normal"/>
        <w:rPr>
          <w:rFonts w:ascii="Tahoma" w:hAnsi="Tahoma" w:cs="Tahoma"/>
          <w:sz w:val="20"/>
        </w:rPr>
      </w:pPr>
      <w:r>
        <w:rPr>
          <w:rFonts w:cs="Tahoma" w:ascii="Tahoma" w:hAnsi="Tahoma"/>
          <w:sz w:val="20"/>
        </w:rPr>
      </w:r>
    </w:p>
    <w:tbl>
      <w:tblPr>
        <w:tblStyle w:val="TableGrid"/>
        <w:tblW w:w="14312"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3938"/>
        <w:gridCol w:w="1599"/>
        <w:gridCol w:w="734"/>
        <w:gridCol w:w="704"/>
        <w:gridCol w:w="1580"/>
        <w:gridCol w:w="1464"/>
        <w:gridCol w:w="1466"/>
        <w:gridCol w:w="2826"/>
      </w:tblGrid>
      <w:tr>
        <w:trPr/>
        <w:tc>
          <w:tcPr>
            <w:tcW w:w="14311" w:type="dxa"/>
            <w:gridSpan w:val="8"/>
            <w:tcBorders/>
            <w:shd w:color="auto" w:fill="A8D08D" w:themeFill="accent6" w:themeFillTint="99" w:val="clear"/>
          </w:tcPr>
          <w:p>
            <w:pPr>
              <w:pStyle w:val="Normal"/>
              <w:widowControl w:val="false"/>
              <w:suppressAutoHyphens w:val="true"/>
              <w:spacing w:lineRule="auto" w:line="240" w:before="0" w:after="0"/>
              <w:ind w:start="360" w:hanging="0"/>
              <w:jc w:val="start"/>
              <w:rPr>
                <w:rFonts w:ascii="Tahoma" w:hAnsi="Tahoma" w:cs="Tahoma"/>
                <w:b/>
                <w:b/>
                <w:sz w:val="18"/>
                <w:szCs w:val="20"/>
              </w:rPr>
            </w:pPr>
            <w:r>
              <w:rPr>
                <w:rFonts w:eastAsia="Calibri" w:cs="Tahoma" w:ascii="Tahoma" w:hAnsi="Tahoma"/>
                <w:b/>
                <w:kern w:val="2"/>
                <w:sz w:val="18"/>
                <w:szCs w:val="20"/>
                <w:lang w:val="en-US" w:eastAsia="en-US" w:bidi="ar-SA"/>
              </w:rPr>
              <w:t xml:space="preserve">МЕРА </w:t>
            </w:r>
            <w:r>
              <w:rPr>
                <w:rFonts w:eastAsia="Calibri" w:cs="Tahoma" w:ascii="Tahoma" w:hAnsi="Tahoma"/>
                <w:b/>
                <w:kern w:val="2"/>
                <w:sz w:val="18"/>
                <w:szCs w:val="20"/>
                <w:lang w:val="sr-Latn-RS" w:eastAsia="en-US" w:bidi="ar-SA"/>
              </w:rPr>
              <w:t xml:space="preserve">2.1. </w:t>
            </w:r>
            <w:r>
              <w:rPr>
                <w:rFonts w:eastAsia="Calibri" w:cs="Tahoma" w:ascii="Tahoma" w:hAnsi="Tahoma"/>
                <w:b/>
                <w:kern w:val="2"/>
                <w:sz w:val="22"/>
                <w:szCs w:val="20"/>
                <w:lang w:val="en-US" w:eastAsia="en-US" w:bidi="ar-SA"/>
              </w:rPr>
              <w:t>Успостављање и пружање локалних услуга социјалне заштите – Лични пратилац и Помоћ у кући</w:t>
            </w:r>
          </w:p>
        </w:tc>
      </w:tr>
      <w:tr>
        <w:trPr/>
        <w:tc>
          <w:tcPr>
            <w:tcW w:w="3938" w:type="dxa"/>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Организациона јединица одговорна за спровођење (координисање спровођења) мере</w:t>
            </w:r>
          </w:p>
        </w:tc>
        <w:tc>
          <w:tcPr>
            <w:tcW w:w="2333"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Извор финансирања</w:t>
            </w:r>
          </w:p>
        </w:tc>
        <w:tc>
          <w:tcPr>
            <w:tcW w:w="2284"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bCs/>
                <w:sz w:val="18"/>
                <w:szCs w:val="20"/>
              </w:rPr>
            </w:pPr>
            <w:r>
              <w:rPr>
                <w:rFonts w:eastAsia="Calibri" w:cs="Tahoma" w:ascii="Tahoma" w:hAnsi="Tahoma"/>
                <w:b/>
                <w:bCs/>
                <w:kern w:val="2"/>
                <w:sz w:val="18"/>
                <w:szCs w:val="20"/>
                <w:lang w:val="en-US" w:eastAsia="en-US" w:bidi="ar-SA"/>
              </w:rPr>
              <w:t xml:space="preserve">Веза са програмским буџетом </w:t>
            </w:r>
            <w:r>
              <w:rPr>
                <w:rFonts w:eastAsia="Calibri" w:cs="Tahoma" w:ascii="Tahoma" w:hAnsi="Tahoma"/>
                <w:b/>
                <w:bCs/>
                <w:i/>
                <w:iCs/>
                <w:kern w:val="2"/>
                <w:sz w:val="18"/>
                <w:szCs w:val="20"/>
                <w:lang w:val="en-US" w:eastAsia="en-US" w:bidi="ar-SA"/>
              </w:rPr>
              <w:t>(шифра ПР/ПА/ПЈ)</w:t>
            </w:r>
          </w:p>
        </w:tc>
        <w:tc>
          <w:tcPr>
            <w:tcW w:w="5756" w:type="dxa"/>
            <w:gridSpan w:val="3"/>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Укупно процењена финансијска средства по изворима финансирања у 000 РСД</w:t>
            </w:r>
            <w:r>
              <w:rPr>
                <w:rStyle w:val="FootnoteAnchor"/>
                <w:rFonts w:eastAsia="Calibri" w:cs="Tahoma" w:ascii="Tahoma" w:hAnsi="Tahoma"/>
                <w:b/>
                <w:kern w:val="2"/>
                <w:sz w:val="18"/>
                <w:szCs w:val="22"/>
                <w:lang w:val="en-US" w:eastAsia="en-US" w:bidi="ar-SA"/>
              </w:rPr>
              <w:footnoteReference w:id="81"/>
            </w:r>
          </w:p>
        </w:tc>
      </w:tr>
      <w:tr>
        <w:trPr/>
        <w:tc>
          <w:tcPr>
            <w:tcW w:w="3938" w:type="dxa"/>
            <w:vMerge w:val="continue"/>
            <w:tcBorders/>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2333"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2284"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w:t>
            </w:r>
          </w:p>
        </w:tc>
        <w:tc>
          <w:tcPr>
            <w:tcW w:w="146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w:t>
            </w:r>
          </w:p>
        </w:tc>
        <w:tc>
          <w:tcPr>
            <w:tcW w:w="282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w:t>
            </w:r>
          </w:p>
        </w:tc>
      </w:tr>
      <w:tr>
        <w:trPr/>
        <w:tc>
          <w:tcPr>
            <w:tcW w:w="3938" w:type="dxa"/>
            <w:vMerge w:val="restart"/>
            <w:tcBorders/>
            <w:shd w:color="auto" w:fill="auto" w:val="clear"/>
          </w:tcPr>
          <w:p>
            <w:pPr>
              <w:pStyle w:val="Normal"/>
              <w:widowControl w:val="false"/>
              <w:suppressAutoHyphens w:val="true"/>
              <w:spacing w:lineRule="auto" w:line="240" w:before="0" w:after="0"/>
              <w:jc w:val="start"/>
              <w:rPr>
                <w:rFonts w:ascii="Tahoma" w:hAnsi="Tahoma" w:cs="Tahoma"/>
                <w:bCs/>
                <w:sz w:val="18"/>
                <w:szCs w:val="20"/>
                <w:lang w:val="ru-RU"/>
              </w:rPr>
            </w:pPr>
            <w:r>
              <w:rPr>
                <w:rFonts w:eastAsia="Calibri" w:cs="Tahoma" w:ascii="Tahoma" w:hAnsi="Tahoma"/>
                <w:bCs/>
                <w:kern w:val="2"/>
                <w:sz w:val="18"/>
                <w:szCs w:val="20"/>
                <w:lang w:val="en-US" w:eastAsia="en-US" w:bidi="ar-SA"/>
              </w:rPr>
              <w:t>Општинска управа</w:t>
            </w:r>
          </w:p>
        </w:tc>
        <w:tc>
          <w:tcPr>
            <w:tcW w:w="2333" w:type="dxa"/>
            <w:gridSpan w:val="2"/>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2284" w:type="dxa"/>
            <w:gridSpan w:val="2"/>
            <w:vMerge w:val="restart"/>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0902-0016</w:t>
            </w:r>
          </w:p>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0902-4005</w:t>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9700</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16000</w:t>
            </w:r>
          </w:p>
        </w:tc>
        <w:tc>
          <w:tcPr>
            <w:tcW w:w="282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16000</w:t>
            </w:r>
          </w:p>
        </w:tc>
      </w:tr>
      <w:tr>
        <w:trPr/>
        <w:tc>
          <w:tcPr>
            <w:tcW w:w="3938" w:type="dxa"/>
            <w:vMerge w:val="continue"/>
            <w:tcBorders/>
            <w:shd w:color="auto" w:fill="auto" w:val="clear"/>
          </w:tcPr>
          <w:p>
            <w:pPr>
              <w:pStyle w:val="Normal"/>
              <w:widowControl w:val="false"/>
              <w:suppressAutoHyphens w:val="true"/>
              <w:spacing w:lineRule="auto" w:line="240" w:before="60" w:after="60"/>
              <w:jc w:val="start"/>
              <w:rPr>
                <w:rFonts w:ascii="Tahoma" w:hAnsi="Tahoma" w:cs="Tahoma"/>
                <w:bCs/>
                <w:sz w:val="18"/>
                <w:szCs w:val="20"/>
              </w:rPr>
            </w:pPr>
            <w:r>
              <w:rPr>
                <w:rFonts w:cs="Tahoma" w:ascii="Tahoma" w:hAnsi="Tahoma"/>
                <w:bCs/>
                <w:sz w:val="18"/>
                <w:szCs w:val="20"/>
              </w:rPr>
            </w:r>
          </w:p>
        </w:tc>
        <w:tc>
          <w:tcPr>
            <w:tcW w:w="2333" w:type="dxa"/>
            <w:gridSpan w:val="2"/>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15-неутрошена средства донацоја из ранијих година</w:t>
            </w:r>
          </w:p>
        </w:tc>
        <w:tc>
          <w:tcPr>
            <w:tcW w:w="2284" w:type="dxa"/>
            <w:gridSpan w:val="2"/>
            <w:vMerge w:val="continue"/>
            <w:tcBorders/>
            <w:shd w:color="auto" w:fill="auto"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4750</w:t>
            </w:r>
          </w:p>
        </w:tc>
        <w:tc>
          <w:tcPr>
            <w:tcW w:w="146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2826" w:type="dxa"/>
            <w:tcBorders/>
            <w:shd w:color="auto" w:fill="auto" w:val="clear"/>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r>
      <w:tr>
        <w:trPr/>
        <w:tc>
          <w:tcPr>
            <w:tcW w:w="6271" w:type="dxa"/>
            <w:gridSpan w:val="3"/>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Период спровођења мере: 2025-2027</w:t>
            </w:r>
          </w:p>
        </w:tc>
        <w:tc>
          <w:tcPr>
            <w:tcW w:w="8040" w:type="dxa"/>
            <w:gridSpan w:val="5"/>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Тип мере</w:t>
            </w:r>
            <w:r>
              <w:rPr>
                <w:rStyle w:val="FootnoteAnchor"/>
                <w:rFonts w:eastAsia="Calibri" w:cs="Tahoma" w:ascii="Tahoma" w:hAnsi="Tahoma"/>
                <w:b/>
                <w:kern w:val="2"/>
                <w:sz w:val="18"/>
                <w:szCs w:val="22"/>
                <w:lang w:val="en-US" w:eastAsia="en-US" w:bidi="ar-SA"/>
              </w:rPr>
              <w:footnoteReference w:id="82"/>
            </w:r>
            <w:r>
              <w:rPr>
                <w:rFonts w:eastAsia="Calibri" w:cs="Tahoma" w:ascii="Tahoma" w:hAnsi="Tahoma"/>
                <w:b/>
                <w:kern w:val="2"/>
                <w:sz w:val="18"/>
                <w:szCs w:val="20"/>
                <w:lang w:val="en-US" w:eastAsia="en-US" w:bidi="ar-SA"/>
              </w:rPr>
              <w:t>: Обезбеђење добара и пружање услуга</w:t>
            </w:r>
          </w:p>
        </w:tc>
      </w:tr>
      <w:tr>
        <w:trPr/>
        <w:tc>
          <w:tcPr>
            <w:tcW w:w="14311" w:type="dxa"/>
            <w:gridSpan w:val="8"/>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Cs/>
                <w:i/>
                <w:i/>
                <w:iCs/>
                <w:sz w:val="18"/>
                <w:szCs w:val="20"/>
              </w:rPr>
            </w:pPr>
            <w:r>
              <w:rPr>
                <w:rFonts w:eastAsia="Calibri" w:cs="Tahoma" w:ascii="Tahoma" w:hAnsi="Tahoma"/>
                <w:bCs/>
                <w:kern w:val="2"/>
                <w:sz w:val="18"/>
                <w:szCs w:val="20"/>
                <w:lang w:val="en-US" w:eastAsia="en-US" w:bidi="ar-SA"/>
              </w:rPr>
              <w:t>Прописи које је потребно изменити/усвојити за спровођење мере:</w:t>
            </w:r>
          </w:p>
          <w:p>
            <w:pPr>
              <w:pStyle w:val="ListParagraph"/>
              <w:widowControl w:val="false"/>
              <w:suppressAutoHyphens w:val="true"/>
              <w:spacing w:lineRule="auto" w:line="240" w:before="0" w:after="0"/>
              <w:contextualSpacing/>
              <w:jc w:val="start"/>
              <w:rPr>
                <w:rFonts w:ascii="Tahoma" w:hAnsi="Tahoma" w:cs="Tahoma"/>
                <w:bCs/>
                <w:sz w:val="18"/>
                <w:szCs w:val="20"/>
              </w:rPr>
            </w:pPr>
            <w:r>
              <w:rPr>
                <w:rFonts w:cs="Tahoma" w:ascii="Tahoma" w:hAnsi="Tahoma"/>
                <w:bCs/>
                <w:sz w:val="18"/>
                <w:szCs w:val="20"/>
              </w:rPr>
            </w:r>
          </w:p>
        </w:tc>
      </w:tr>
      <w:tr>
        <w:trPr/>
        <w:tc>
          <w:tcPr>
            <w:tcW w:w="3938" w:type="dxa"/>
            <w:tcBorders/>
            <w:shd w:color="auto" w:fill="D9E2F3" w:themeFill="accent1" w:themeFillTint="33" w:val="clear"/>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b/>
                <w:kern w:val="2"/>
                <w:sz w:val="18"/>
                <w:szCs w:val="20"/>
                <w:lang w:val="en-US" w:eastAsia="en-US" w:bidi="ar-SA"/>
              </w:rPr>
              <w:t>Показатељ(и) на нивоу мере</w:t>
            </w:r>
          </w:p>
        </w:tc>
        <w:tc>
          <w:tcPr>
            <w:tcW w:w="1599"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Jединица мере</w:t>
            </w:r>
          </w:p>
        </w:tc>
        <w:tc>
          <w:tcPr>
            <w:tcW w:w="1438" w:type="dxa"/>
            <w:gridSpan w:val="2"/>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Извор провере</w:t>
            </w:r>
          </w:p>
        </w:tc>
        <w:tc>
          <w:tcPr>
            <w:tcW w:w="158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Почетна вредност са базном годином</w:t>
            </w:r>
          </w:p>
        </w:tc>
        <w:tc>
          <w:tcPr>
            <w:tcW w:w="1464"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2025</w:t>
            </w:r>
          </w:p>
        </w:tc>
        <w:tc>
          <w:tcPr>
            <w:tcW w:w="146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2026</w:t>
            </w:r>
          </w:p>
        </w:tc>
        <w:tc>
          <w:tcPr>
            <w:tcW w:w="282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2027</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Број корисника услуге Лични пратилац</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38" w:type="dxa"/>
            <w:gridSpan w:val="2"/>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Извештаји ЦСР</w:t>
            </w:r>
          </w:p>
        </w:tc>
        <w:tc>
          <w:tcPr>
            <w:tcW w:w="1580"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10 2024</w:t>
            </w:r>
          </w:p>
        </w:tc>
        <w:tc>
          <w:tcPr>
            <w:tcW w:w="146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11</w:t>
            </w:r>
          </w:p>
        </w:tc>
        <w:tc>
          <w:tcPr>
            <w:tcW w:w="146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11</w:t>
            </w:r>
          </w:p>
        </w:tc>
        <w:tc>
          <w:tcPr>
            <w:tcW w:w="282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12</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Број корисника услуге Помоћ у кући за одрасла и старија  лица</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38" w:type="dxa"/>
            <w:gridSpan w:val="2"/>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Извештаји ЦСР</w:t>
            </w:r>
          </w:p>
        </w:tc>
        <w:tc>
          <w:tcPr>
            <w:tcW w:w="158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0 (2024)</w:t>
            </w:r>
          </w:p>
        </w:tc>
        <w:tc>
          <w:tcPr>
            <w:tcW w:w="1464"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40</w:t>
            </w:r>
          </w:p>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1466" w:type="dxa"/>
            <w:tcBorders/>
          </w:tcPr>
          <w:p>
            <w:pPr>
              <w:pStyle w:val="Normal"/>
              <w:widowControl w:val="false"/>
              <w:suppressAutoHyphens w:val="true"/>
              <w:spacing w:lineRule="auto" w:line="240" w:before="0" w:after="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40</w:t>
            </w:r>
          </w:p>
        </w:tc>
        <w:tc>
          <w:tcPr>
            <w:tcW w:w="2826" w:type="dxa"/>
            <w:tcBorders/>
          </w:tcPr>
          <w:p>
            <w:pPr>
              <w:pStyle w:val="Normal"/>
              <w:widowControl w:val="false"/>
              <w:suppressAutoHyphens w:val="true"/>
              <w:spacing w:lineRule="auto" w:line="240" w:before="0" w:after="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40</w:t>
            </w:r>
          </w:p>
        </w:tc>
      </w:tr>
    </w:tbl>
    <w:p>
      <w:pPr>
        <w:pStyle w:val="Normal"/>
        <w:rPr>
          <w:rFonts w:ascii="Tahoma" w:hAnsi="Tahoma" w:cs="Tahoma"/>
          <w:sz w:val="20"/>
        </w:rPr>
      </w:pPr>
      <w:r>
        <w:rPr>
          <w:rFonts w:cs="Tahoma" w:ascii="Tahoma" w:hAnsi="Tahoma"/>
          <w:sz w:val="20"/>
        </w:rPr>
      </w:r>
    </w:p>
    <w:tbl>
      <w:tblPr>
        <w:tblStyle w:val="TableGrid"/>
        <w:tblW w:w="14311"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2571"/>
        <w:gridCol w:w="1743"/>
        <w:gridCol w:w="1427"/>
        <w:gridCol w:w="1417"/>
        <w:gridCol w:w="1627"/>
        <w:gridCol w:w="1521"/>
        <w:gridCol w:w="1335"/>
        <w:gridCol w:w="1353"/>
        <w:gridCol w:w="1315"/>
      </w:tblGrid>
      <w:tr>
        <w:trPr>
          <w:trHeight w:val="853" w:hRule="atLeast"/>
        </w:trPr>
        <w:tc>
          <w:tcPr>
            <w:tcW w:w="2571" w:type="dxa"/>
            <w:vMerge w:val="restart"/>
            <w:tcBorders/>
            <w:shd w:color="auto" w:fill="FFFFCC" w:val="clear"/>
            <w:vAlign w:val="center"/>
          </w:tcPr>
          <w:p>
            <w:pPr>
              <w:pStyle w:val="Normal"/>
              <w:widowControl w:val="false"/>
              <w:suppressAutoHyphens w:val="true"/>
              <w:spacing w:lineRule="auto" w:line="240" w:before="60" w:after="60"/>
              <w:jc w:val="start"/>
              <w:rPr>
                <w:rFonts w:ascii="Tahoma" w:hAnsi="Tahoma" w:cs="Tahoma"/>
                <w:b/>
                <w:b/>
                <w:spacing w:val="-8"/>
                <w:sz w:val="18"/>
                <w:szCs w:val="20"/>
              </w:rPr>
            </w:pPr>
            <w:r>
              <w:rPr>
                <w:rFonts w:eastAsia="Calibri" w:cs="Tahoma" w:ascii="Tahoma" w:hAnsi="Tahoma"/>
                <w:b/>
                <w:spacing w:val="-8"/>
                <w:kern w:val="2"/>
                <w:sz w:val="18"/>
                <w:szCs w:val="20"/>
                <w:lang w:val="en-US" w:eastAsia="en-US" w:bidi="ar-SA"/>
              </w:rPr>
              <w:t>Назив активности</w:t>
            </w:r>
          </w:p>
        </w:tc>
        <w:tc>
          <w:tcPr>
            <w:tcW w:w="1743"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Организациона јединица која спроводи активност</w:t>
            </w:r>
          </w:p>
        </w:tc>
        <w:tc>
          <w:tcPr>
            <w:tcW w:w="14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Партнери у спровођењу активности</w:t>
            </w:r>
          </w:p>
        </w:tc>
        <w:tc>
          <w:tcPr>
            <w:tcW w:w="141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Рок за завршетак активности </w:t>
            </w:r>
            <w:r>
              <w:rPr>
                <w:rFonts w:eastAsia="Calibri" w:cs="Tahoma" w:ascii="Tahoma" w:hAnsi="Tahoma"/>
                <w:i/>
                <w:spacing w:val="-8"/>
                <w:kern w:val="2"/>
                <w:sz w:val="18"/>
                <w:szCs w:val="20"/>
                <w:lang w:val="en-US" w:eastAsia="en-US" w:bidi="ar-SA"/>
              </w:rPr>
              <w:t>(квартал, година)</w:t>
            </w:r>
          </w:p>
        </w:tc>
        <w:tc>
          <w:tcPr>
            <w:tcW w:w="16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Извор финансирања</w:t>
            </w:r>
          </w:p>
        </w:tc>
        <w:tc>
          <w:tcPr>
            <w:tcW w:w="1521"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Веза са програмским буџетом </w:t>
            </w:r>
            <w:r>
              <w:rPr>
                <w:rFonts w:eastAsia="Calibri" w:cs="Tahoma" w:ascii="Tahoma" w:hAnsi="Tahoma"/>
                <w:i/>
                <w:spacing w:val="-8"/>
                <w:kern w:val="2"/>
                <w:sz w:val="18"/>
                <w:szCs w:val="20"/>
                <w:lang w:val="en-US" w:eastAsia="en-US" w:bidi="ar-SA"/>
              </w:rPr>
              <w:t>(шифра ПР/ПА/ПЈ)</w:t>
            </w:r>
          </w:p>
        </w:tc>
        <w:tc>
          <w:tcPr>
            <w:tcW w:w="4003" w:type="dxa"/>
            <w:gridSpan w:val="3"/>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Укупно процењена финансијска средства по изворима финансирања у 000 РСД</w:t>
            </w:r>
          </w:p>
        </w:tc>
      </w:tr>
      <w:tr>
        <w:trPr>
          <w:trHeight w:val="144" w:hRule="atLeast"/>
        </w:trPr>
        <w:tc>
          <w:tcPr>
            <w:tcW w:w="2571" w:type="dxa"/>
            <w:vMerge w:val="continue"/>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cs="Tahoma" w:ascii="Tahoma" w:hAnsi="Tahoma"/>
                <w:spacing w:val="-8"/>
                <w:sz w:val="18"/>
                <w:szCs w:val="20"/>
              </w:rPr>
            </w:r>
          </w:p>
        </w:tc>
        <w:tc>
          <w:tcPr>
            <w:tcW w:w="1743"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1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6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521"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33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 година</w:t>
            </w:r>
          </w:p>
        </w:tc>
        <w:tc>
          <w:tcPr>
            <w:tcW w:w="1353"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 година</w:t>
            </w:r>
          </w:p>
        </w:tc>
        <w:tc>
          <w:tcPr>
            <w:tcW w:w="131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 година</w:t>
            </w:r>
          </w:p>
        </w:tc>
      </w:tr>
      <w:tr>
        <w:trPr>
          <w:trHeight w:val="359" w:hRule="atLeast"/>
        </w:trPr>
        <w:tc>
          <w:tcPr>
            <w:tcW w:w="2571" w:type="dxa"/>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eastAsia="Calibri" w:cs="Tahoma" w:ascii="Tahoma" w:hAnsi="Tahoma"/>
                <w:spacing w:val="-8"/>
                <w:kern w:val="2"/>
                <w:sz w:val="18"/>
                <w:szCs w:val="20"/>
                <w:lang w:val="en-US" w:eastAsia="en-US" w:bidi="ar-SA"/>
              </w:rPr>
              <w:t>2.1.1.</w:t>
            </w:r>
            <w:r>
              <w:rPr>
                <w:rFonts w:eastAsia="Calibri" w:cs="Tahoma" w:ascii="Tahoma" w:hAnsi="Tahoma"/>
                <w:kern w:val="2"/>
                <w:sz w:val="18"/>
                <w:szCs w:val="20"/>
                <w:lang w:val="en-US" w:eastAsia="en-US" w:bidi="ar-SA"/>
              </w:rPr>
              <w:t xml:space="preserve"> Реализација акредитоване обуке за геронтодомаћице</w:t>
            </w:r>
          </w:p>
        </w:tc>
        <w:tc>
          <w:tcPr>
            <w:tcW w:w="1743" w:type="dxa"/>
            <w:tcBorders/>
            <w:vAlign w:val="center"/>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Tahoma" w:ascii="Tahoma" w:hAnsi="Tahoma"/>
                <w:kern w:val="2"/>
                <w:sz w:val="18"/>
                <w:szCs w:val="24"/>
                <w:lang w:val="ru-RU" w:eastAsia="en-US" w:bidi="ar-SA"/>
              </w:rPr>
              <w:t>Одељење за имовинске, опште и заједничке послове</w:t>
            </w:r>
          </w:p>
          <w:p>
            <w:pPr>
              <w:pStyle w:val="Normal"/>
              <w:widowControl w:val="false"/>
              <w:suppressAutoHyphens w:val="true"/>
              <w:spacing w:lineRule="auto" w:line="240" w:before="0" w:after="0"/>
              <w:jc w:val="start"/>
              <w:rPr>
                <w:rFonts w:ascii="Tahoma" w:hAnsi="Tahoma" w:cs="Tahoma"/>
                <w:spacing w:val="-8"/>
                <w:sz w:val="18"/>
                <w:szCs w:val="20"/>
                <w:lang w:val="ru-RU"/>
              </w:rPr>
            </w:pPr>
            <w:r>
              <w:rPr>
                <w:rFonts w:cs="Tahoma" w:ascii="Tahoma" w:hAnsi="Tahoma"/>
                <w:spacing w:val="-8"/>
                <w:sz w:val="18"/>
                <w:szCs w:val="20"/>
                <w:lang w:val="ru-RU"/>
              </w:rPr>
            </w:r>
          </w:p>
        </w:tc>
        <w:tc>
          <w:tcPr>
            <w:tcW w:w="1427" w:type="dxa"/>
            <w:tcBorders/>
            <w:vAlign w:val="center"/>
          </w:tcPr>
          <w:p>
            <w:pPr>
              <w:pStyle w:val="Normal"/>
              <w:widowControl w:val="false"/>
              <w:suppressAutoHyphens w:val="true"/>
              <w:spacing w:lineRule="auto" w:line="240" w:before="0" w:after="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ЦСР, СКГО</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2025</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highlight w:val="yellow"/>
              </w:rPr>
            </w:pPr>
            <w:r>
              <w:rPr>
                <w:rFonts w:eastAsia="Calibri" w:cs="Tahoma" w:ascii="Tahoma" w:hAnsi="Tahoma"/>
                <w:spacing w:val="-8"/>
                <w:kern w:val="2"/>
                <w:sz w:val="18"/>
                <w:szCs w:val="20"/>
                <w:lang w:val="en-US" w:eastAsia="en-US" w:bidi="ar-SA"/>
              </w:rPr>
              <w:t>15-неутрошена средства донацоја из ранијих година</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0902-4005</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250</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w:t>
            </w:r>
          </w:p>
        </w:tc>
      </w:tr>
      <w:tr>
        <w:trPr>
          <w:trHeight w:val="359" w:hRule="atLeast"/>
        </w:trPr>
        <w:tc>
          <w:tcPr>
            <w:tcW w:w="2571" w:type="dxa"/>
            <w:tcBorders/>
            <w:vAlign w:val="center"/>
          </w:tcPr>
          <w:p>
            <w:pPr>
              <w:pStyle w:val="Normal"/>
              <w:widowControl w:val="false"/>
              <w:suppressAutoHyphens w:val="true"/>
              <w:spacing w:lineRule="auto" w:line="240" w:before="0" w:after="0"/>
              <w:jc w:val="start"/>
              <w:rPr>
                <w:rFonts w:ascii="Tahoma" w:hAnsi="Tahoma" w:cs="Tahoma"/>
                <w:sz w:val="18"/>
                <w:szCs w:val="20"/>
              </w:rPr>
            </w:pPr>
            <w:r>
              <w:rPr>
                <w:rFonts w:eastAsia="Calibri" w:cs="Tahoma" w:ascii="Tahoma" w:hAnsi="Tahoma"/>
                <w:kern w:val="2"/>
                <w:sz w:val="18"/>
                <w:szCs w:val="20"/>
                <w:lang w:val="en-US" w:eastAsia="en-US" w:bidi="ar-SA"/>
              </w:rPr>
              <w:t>2.1.2.</w:t>
            </w:r>
            <w:r>
              <w:rPr>
                <w:rFonts w:eastAsia="Calibri" w:cs="Tahoma" w:ascii="Tahoma" w:hAnsi="Tahoma"/>
                <w:kern w:val="2"/>
                <w:sz w:val="18"/>
                <w:szCs w:val="20"/>
                <w:lang w:val="sr-BA" w:eastAsia="en-US" w:bidi="ar-SA"/>
              </w:rPr>
              <w:t xml:space="preserve"> </w:t>
            </w:r>
            <w:r>
              <w:rPr>
                <w:rFonts w:eastAsia="Calibri" w:cs="Tahoma" w:ascii="Tahoma" w:hAnsi="Tahoma"/>
                <w:kern w:val="2"/>
                <w:sz w:val="18"/>
                <w:szCs w:val="20"/>
                <w:lang w:val="en-US" w:eastAsia="en-US" w:bidi="ar-SA"/>
              </w:rPr>
              <w:t>Пружање услуге Лични пратилац</w:t>
            </w:r>
          </w:p>
          <w:p>
            <w:pPr>
              <w:pStyle w:val="Normal"/>
              <w:widowControl w:val="false"/>
              <w:suppressAutoHyphens w:val="true"/>
              <w:spacing w:lineRule="auto" w:line="240" w:before="60" w:after="60"/>
              <w:jc w:val="start"/>
              <w:rPr>
                <w:rFonts w:ascii="Tahoma" w:hAnsi="Tahoma" w:cs="Tahoma"/>
                <w:spacing w:val="-8"/>
                <w:sz w:val="18"/>
                <w:szCs w:val="20"/>
              </w:rPr>
            </w:pPr>
            <w:r>
              <w:rPr>
                <w:rFonts w:cs="Tahoma" w:ascii="Tahoma" w:hAnsi="Tahoma"/>
                <w:spacing w:val="-8"/>
                <w:sz w:val="18"/>
                <w:szCs w:val="20"/>
              </w:rPr>
            </w:r>
          </w:p>
        </w:tc>
        <w:tc>
          <w:tcPr>
            <w:tcW w:w="1743" w:type="dxa"/>
            <w:tcBorders/>
            <w:vAlign w:val="center"/>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Tahoma" w:ascii="Tahoma" w:hAnsi="Tahoma"/>
                <w:kern w:val="2"/>
                <w:sz w:val="18"/>
                <w:szCs w:val="24"/>
                <w:lang w:val="ru-RU" w:eastAsia="en-US" w:bidi="ar-SA"/>
              </w:rPr>
              <w:t>Одељење за имовинске, опште и заједничке послове</w:t>
            </w:r>
          </w:p>
          <w:p>
            <w:pPr>
              <w:pStyle w:val="Normal"/>
              <w:widowControl w:val="false"/>
              <w:suppressAutoHyphens w:val="true"/>
              <w:spacing w:lineRule="auto" w:line="240" w:before="0" w:after="0"/>
              <w:jc w:val="start"/>
              <w:rPr>
                <w:rFonts w:ascii="Tahoma" w:hAnsi="Tahoma" w:cs="Tahoma"/>
                <w:spacing w:val="-8"/>
                <w:sz w:val="18"/>
                <w:szCs w:val="20"/>
                <w:lang w:val="ru-RU"/>
              </w:rPr>
            </w:pPr>
            <w:r>
              <w:rPr>
                <w:rFonts w:cs="Tahoma" w:ascii="Tahoma" w:hAnsi="Tahoma"/>
                <w:spacing w:val="-8"/>
                <w:sz w:val="18"/>
                <w:szCs w:val="20"/>
                <w:lang w:val="ru-RU"/>
              </w:rPr>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lang w:val="ru-RU"/>
              </w:rPr>
            </w:pPr>
            <w:r>
              <w:rPr>
                <w:rFonts w:eastAsia="Calibri" w:cs="Tahoma" w:ascii="Tahoma" w:hAnsi="Tahoma"/>
                <w:spacing w:val="-8"/>
                <w:kern w:val="2"/>
                <w:sz w:val="18"/>
                <w:szCs w:val="20"/>
                <w:lang w:val="ru-RU" w:eastAsia="en-US" w:bidi="ar-SA"/>
              </w:rPr>
              <w:t>ЦСР, ИРК,  Лиценцирани пружалац услуге,</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0902-0016</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9.450</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10.000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10.000</w:t>
            </w:r>
          </w:p>
        </w:tc>
      </w:tr>
      <w:tr>
        <w:trPr>
          <w:trHeight w:val="370" w:hRule="atLeast"/>
        </w:trPr>
        <w:tc>
          <w:tcPr>
            <w:tcW w:w="2571" w:type="dxa"/>
            <w:tcBorders/>
            <w:vAlign w:val="center"/>
          </w:tcPr>
          <w:p>
            <w:pPr>
              <w:pStyle w:val="Normal"/>
              <w:widowControl w:val="false"/>
              <w:suppressAutoHyphens w:val="true"/>
              <w:spacing w:lineRule="auto" w:line="240" w:before="0" w:after="0"/>
              <w:jc w:val="start"/>
              <w:rPr>
                <w:rFonts w:ascii="Tahoma" w:hAnsi="Tahoma" w:cs="Tahoma"/>
                <w:sz w:val="18"/>
                <w:szCs w:val="20"/>
              </w:rPr>
            </w:pPr>
            <w:r>
              <w:rPr>
                <w:rFonts w:eastAsia="Calibri" w:cs="Tahoma" w:ascii="Tahoma" w:hAnsi="Tahoma"/>
                <w:kern w:val="2"/>
                <w:sz w:val="18"/>
                <w:szCs w:val="20"/>
                <w:lang w:val="en-US" w:eastAsia="en-US" w:bidi="ar-SA"/>
              </w:rPr>
              <w:t>2.1.</w:t>
            </w:r>
            <w:r>
              <w:rPr>
                <w:rFonts w:eastAsia="Calibri" w:cs="Tahoma" w:ascii="Tahoma" w:hAnsi="Tahoma"/>
                <w:kern w:val="2"/>
                <w:sz w:val="18"/>
                <w:szCs w:val="20"/>
                <w:lang w:val="sr-BA" w:eastAsia="en-US" w:bidi="ar-SA"/>
              </w:rPr>
              <w:t>3</w:t>
            </w:r>
            <w:r>
              <w:rPr>
                <w:rFonts w:eastAsia="Calibri" w:cs="Tahoma" w:ascii="Tahoma" w:hAnsi="Tahoma"/>
                <w:kern w:val="2"/>
                <w:sz w:val="18"/>
                <w:szCs w:val="20"/>
                <w:lang w:val="en-US" w:eastAsia="en-US" w:bidi="ar-SA"/>
              </w:rPr>
              <w:t>.</w:t>
            </w:r>
            <w:r>
              <w:rPr>
                <w:rFonts w:eastAsia="Calibri" w:cs="Tahoma" w:ascii="Tahoma" w:hAnsi="Tahoma"/>
                <w:kern w:val="2"/>
                <w:sz w:val="18"/>
                <w:szCs w:val="20"/>
                <w:lang w:val="sr-BA" w:eastAsia="en-US" w:bidi="ar-SA"/>
              </w:rPr>
              <w:t xml:space="preserve"> </w:t>
            </w:r>
            <w:r>
              <w:rPr>
                <w:rFonts w:eastAsia="Calibri" w:cs="Tahoma" w:ascii="Tahoma" w:hAnsi="Tahoma"/>
                <w:kern w:val="2"/>
                <w:sz w:val="18"/>
                <w:szCs w:val="20"/>
                <w:lang w:val="en-US" w:eastAsia="en-US" w:bidi="ar-SA"/>
              </w:rPr>
              <w:t>Пружање услуге Помоћ у кући</w:t>
            </w:r>
          </w:p>
          <w:p>
            <w:pPr>
              <w:pStyle w:val="Normal"/>
              <w:widowControl w:val="false"/>
              <w:suppressAutoHyphens w:val="true"/>
              <w:spacing w:lineRule="auto" w:line="240" w:before="60" w:after="60"/>
              <w:jc w:val="start"/>
              <w:rPr>
                <w:rFonts w:ascii="Tahoma" w:hAnsi="Tahoma" w:cs="Tahoma"/>
                <w:spacing w:val="-8"/>
                <w:sz w:val="18"/>
                <w:szCs w:val="20"/>
                <w:highlight w:val="yellow"/>
              </w:rPr>
            </w:pPr>
            <w:r>
              <w:rPr>
                <w:rFonts w:cs="Tahoma" w:ascii="Tahoma" w:hAnsi="Tahoma"/>
                <w:spacing w:val="-8"/>
                <w:sz w:val="18"/>
                <w:szCs w:val="20"/>
                <w:highlight w:val="yellow"/>
              </w:rPr>
            </w:r>
          </w:p>
        </w:tc>
        <w:tc>
          <w:tcPr>
            <w:tcW w:w="1743" w:type="dxa"/>
            <w:tcBorders/>
            <w:vAlign w:val="center"/>
          </w:tcPr>
          <w:p>
            <w:pPr>
              <w:pStyle w:val="Normal"/>
              <w:widowControl w:val="false"/>
              <w:suppressAutoHyphens w:val="true"/>
              <w:spacing w:lineRule="auto" w:line="240" w:before="0" w:after="0"/>
              <w:jc w:val="start"/>
              <w:rPr>
                <w:rFonts w:ascii="Calibri" w:hAnsi="Calibri" w:eastAsia="Calibri" w:cs="Arial"/>
                <w:kern w:val="2"/>
                <w:sz w:val="22"/>
                <w:szCs w:val="22"/>
                <w:lang w:val="en-US" w:eastAsia="en-US" w:bidi="ar-SA"/>
              </w:rPr>
            </w:pPr>
            <w:r>
              <w:rPr>
                <w:rFonts w:eastAsia="Calibri" w:cs="Tahoma" w:ascii="Tahoma" w:hAnsi="Tahoma"/>
                <w:spacing w:val="-8"/>
                <w:kern w:val="2"/>
                <w:sz w:val="18"/>
                <w:szCs w:val="24"/>
                <w:lang w:val="ru-RU" w:eastAsia="en-US" w:bidi="ar-SA"/>
              </w:rPr>
              <w:t>Одељење за имовинске, опште и заједничке послове</w:t>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ЦСР, Лиценцирани пружалац услуге, СКГО</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15-неутрошена средства донацоја из ранијих година</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0902-0016</w:t>
            </w:r>
          </w:p>
        </w:tc>
        <w:tc>
          <w:tcPr>
            <w:tcW w:w="1335" w:type="dxa"/>
            <w:tcBorders/>
            <w:vAlign w:val="center"/>
          </w:tcPr>
          <w:p>
            <w:pPr>
              <w:pStyle w:val="Normal"/>
              <w:widowControl w:val="false"/>
              <w:suppressAutoHyphens w:val="true"/>
              <w:spacing w:lineRule="auto" w:line="240" w:before="60" w:after="60"/>
              <w:jc w:val="center"/>
              <w:rPr>
                <w:rFonts w:eastAsia="Arial" w:eastAsiaTheme="minorHAnsi"/>
                <w:shd w:fill="auto" w:val="clear"/>
                <w14:ligatures w14:val="standardContextual"/>
              </w:rPr>
            </w:pPr>
            <w:r>
              <w:rPr>
                <w:rFonts w:eastAsia="Arial" w:cs="Tahoma" w:ascii="Tahoma" w:hAnsi="Tahoma" w:eastAsiaTheme="minorHAnsi"/>
                <w:spacing w:val="-8"/>
                <w:kern w:val="2"/>
                <w:sz w:val="18"/>
                <w:szCs w:val="20"/>
                <w:shd w:fill="auto" w:val="clear"/>
                <w:lang w:val="en-US" w:eastAsia="en-US" w:bidi="ar-SA"/>
                <w14:ligatures w14:val="standardContextual"/>
              </w:rPr>
              <w:t>4750</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6000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6000</w:t>
            </w:r>
          </w:p>
        </w:tc>
      </w:tr>
    </w:tbl>
    <w:p>
      <w:pPr>
        <w:pStyle w:val="Normal"/>
        <w:spacing w:before="60" w:after="60"/>
        <w:jc w:val="center"/>
        <w:rPr>
          <w:rFonts w:ascii="Tahoma" w:hAnsi="Tahoma" w:cs="Tahoma"/>
          <w:spacing w:val="-8"/>
          <w:sz w:val="18"/>
          <w:szCs w:val="20"/>
        </w:rPr>
      </w:pPr>
      <w:r>
        <w:rPr>
          <w:rFonts w:cs="Tahoma" w:ascii="Tahoma" w:hAnsi="Tahoma"/>
          <w:spacing w:val="-8"/>
          <w:sz w:val="18"/>
          <w:szCs w:val="20"/>
        </w:rPr>
      </w:r>
    </w:p>
    <w:p>
      <w:pPr>
        <w:pStyle w:val="Normal"/>
        <w:spacing w:before="60" w:after="60"/>
        <w:jc w:val="center"/>
        <w:rPr>
          <w:rFonts w:ascii="Tahoma" w:hAnsi="Tahoma" w:cs="Tahoma"/>
          <w:spacing w:val="-8"/>
          <w:sz w:val="18"/>
          <w:szCs w:val="20"/>
        </w:rPr>
      </w:pPr>
      <w:r>
        <w:rPr>
          <w:rFonts w:cs="Tahoma" w:ascii="Tahoma" w:hAnsi="Tahoma"/>
          <w:spacing w:val="-8"/>
          <w:sz w:val="18"/>
          <w:szCs w:val="20"/>
        </w:rPr>
      </w:r>
    </w:p>
    <w:p>
      <w:pPr>
        <w:pStyle w:val="Normal"/>
        <w:spacing w:before="60" w:after="60"/>
        <w:jc w:val="center"/>
        <w:rPr>
          <w:rFonts w:ascii="Tahoma" w:hAnsi="Tahoma" w:cs="Tahoma"/>
          <w:spacing w:val="-8"/>
          <w:sz w:val="18"/>
          <w:szCs w:val="20"/>
        </w:rPr>
      </w:pPr>
      <w:r>
        <w:rPr>
          <w:rFonts w:cs="Tahoma" w:ascii="Tahoma" w:hAnsi="Tahoma"/>
          <w:spacing w:val="-8"/>
          <w:sz w:val="18"/>
          <w:szCs w:val="20"/>
        </w:rPr>
      </w:r>
    </w:p>
    <w:tbl>
      <w:tblPr>
        <w:tblStyle w:val="TableGrid"/>
        <w:tblW w:w="14459" w:type="dxa"/>
        <w:jc w:val="start"/>
        <w:tblInd w:w="-714" w:type="dxa"/>
        <w:tblLayout w:type="fixed"/>
        <w:tblCellMar>
          <w:top w:w="0" w:type="dxa"/>
          <w:start w:w="108" w:type="dxa"/>
          <w:bottom w:w="0" w:type="dxa"/>
          <w:end w:w="108" w:type="dxa"/>
        </w:tblCellMar>
        <w:tblLook w:firstRow="1" w:noVBand="1" w:lastRow="0" w:firstColumn="1" w:lastColumn="0" w:noHBand="0" w:val="04a0"/>
      </w:tblPr>
      <w:tblGrid>
        <w:gridCol w:w="4130"/>
        <w:gridCol w:w="1482"/>
        <w:gridCol w:w="1445"/>
        <w:gridCol w:w="1473"/>
        <w:gridCol w:w="1670"/>
        <w:gridCol w:w="1987"/>
        <w:gridCol w:w="2271"/>
      </w:tblGrid>
      <w:tr>
        <w:trPr/>
        <w:tc>
          <w:tcPr>
            <w:tcW w:w="14458" w:type="dxa"/>
            <w:gridSpan w:val="7"/>
            <w:tcBorders/>
            <w:shd w:color="auto" w:fill="C9C9C9" w:themeFill="accent3" w:themeFillTint="99" w:val="clear"/>
          </w:tcPr>
          <w:p>
            <w:pPr>
              <w:pStyle w:val="ListParagraph"/>
              <w:widowControl w:val="false"/>
              <w:suppressAutoHyphens w:val="true"/>
              <w:spacing w:lineRule="auto" w:line="240" w:before="0" w:after="120"/>
              <w:ind w:start="0" w:hanging="0"/>
              <w:contextualSpacing/>
              <w:jc w:val="start"/>
              <w:rPr>
                <w:rFonts w:ascii="Tahoma" w:hAnsi="Tahoma" w:cs="Tahoma"/>
                <w:b/>
                <w:b/>
                <w:sz w:val="18"/>
                <w:szCs w:val="20"/>
              </w:rPr>
            </w:pPr>
            <w:r>
              <w:rPr>
                <w:rFonts w:eastAsia="Calibri" w:cs="Tahoma" w:ascii="Tahoma" w:hAnsi="Tahoma"/>
                <w:b/>
                <w:kern w:val="2"/>
                <w:sz w:val="18"/>
                <w:szCs w:val="20"/>
                <w:lang w:val="en-US" w:eastAsia="en-US" w:bidi="ar-SA"/>
              </w:rPr>
              <w:t>ПОСЕБНИ ЦИЉ 3:</w:t>
            </w:r>
            <w:r>
              <w:rPr>
                <w:rFonts w:eastAsia="Calibri" w:cs="Tahoma" w:ascii="Tahoma" w:hAnsi="Tahoma"/>
                <w:b/>
                <w:kern w:val="2"/>
                <w:sz w:val="20"/>
                <w:szCs w:val="20"/>
                <w:lang w:val="en-US" w:eastAsia="en-US" w:bidi="ar-SA"/>
              </w:rPr>
              <w:t xml:space="preserve"> </w:t>
            </w:r>
            <w:r>
              <w:rPr>
                <w:rFonts w:eastAsia="Times New Roman" w:cs="Tahoma" w:ascii="Tahoma" w:hAnsi="Tahoma"/>
                <w:b/>
                <w:bCs/>
                <w:kern w:val="2"/>
                <w:sz w:val="20"/>
                <w:szCs w:val="20"/>
                <w:lang w:val="en-US" w:eastAsia="sr-Latn-RS" w:bidi="ar-SA"/>
              </w:rPr>
              <w:t>Повећање информисаности грађана о правима и услугама социјалне заштите</w:t>
            </w:r>
          </w:p>
        </w:tc>
      </w:tr>
      <w:tr>
        <w:trPr/>
        <w:tc>
          <w:tcPr>
            <w:tcW w:w="14458" w:type="dxa"/>
            <w:gridSpan w:val="7"/>
            <w:tcBorders/>
            <w:shd w:color="auto" w:fill="DBDBDB" w:themeFill="accent3"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Организациона јединица одговорна за спровођење (координисање спровођења) посебног циља: Општинска управа-Одељење за опште, имовинске и заједничке послове</w:t>
            </w:r>
          </w:p>
        </w:tc>
      </w:tr>
      <w:tr>
        <w:trPr/>
        <w:tc>
          <w:tcPr>
            <w:tcW w:w="4130" w:type="dxa"/>
            <w:tcBorders/>
            <w:shd w:color="auto" w:fill="D9E2F3" w:themeFill="accent1" w:themeFillTint="33" w:val="clear"/>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b/>
                <w:kern w:val="2"/>
                <w:sz w:val="18"/>
                <w:szCs w:val="20"/>
                <w:lang w:val="en-US" w:eastAsia="en-US" w:bidi="ar-SA"/>
              </w:rPr>
              <w:t>Показатељ(и) на нивоу посебног циља</w:t>
            </w:r>
          </w:p>
        </w:tc>
        <w:tc>
          <w:tcPr>
            <w:tcW w:w="1482"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Jединица мере</w:t>
            </w:r>
          </w:p>
        </w:tc>
        <w:tc>
          <w:tcPr>
            <w:tcW w:w="1445"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Извор провере</w:t>
            </w:r>
          </w:p>
        </w:tc>
        <w:tc>
          <w:tcPr>
            <w:tcW w:w="1473"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Почетна вредност са базном годином</w:t>
            </w:r>
          </w:p>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2024</w:t>
            </w:r>
          </w:p>
        </w:tc>
        <w:tc>
          <w:tcPr>
            <w:tcW w:w="167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2025</w:t>
            </w:r>
          </w:p>
        </w:tc>
        <w:tc>
          <w:tcPr>
            <w:tcW w:w="1987"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2026</w:t>
            </w:r>
          </w:p>
        </w:tc>
        <w:tc>
          <w:tcPr>
            <w:tcW w:w="2271"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2027</w:t>
            </w:r>
          </w:p>
        </w:tc>
      </w:tr>
      <w:tr>
        <w:trPr/>
        <w:tc>
          <w:tcPr>
            <w:tcW w:w="4130" w:type="dxa"/>
            <w:tcBorders/>
            <w:vAlign w:val="cente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Број објава на веб сајту и друштвеним мрежама Општине Беочин</w:t>
            </w:r>
          </w:p>
        </w:tc>
        <w:tc>
          <w:tcPr>
            <w:tcW w:w="1482"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45"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Увид у сајт  и друштвене мреже</w:t>
            </w:r>
          </w:p>
        </w:tc>
        <w:tc>
          <w:tcPr>
            <w:tcW w:w="1473"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1</w:t>
            </w:r>
          </w:p>
        </w:tc>
        <w:tc>
          <w:tcPr>
            <w:tcW w:w="167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3</w:t>
            </w:r>
          </w:p>
        </w:tc>
        <w:tc>
          <w:tcPr>
            <w:tcW w:w="1987"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3</w:t>
            </w:r>
          </w:p>
        </w:tc>
        <w:tc>
          <w:tcPr>
            <w:tcW w:w="2271"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3</w:t>
            </w:r>
          </w:p>
        </w:tc>
      </w:tr>
    </w:tbl>
    <w:p>
      <w:pPr>
        <w:pStyle w:val="Normal"/>
        <w:rPr>
          <w:rFonts w:ascii="Tahoma" w:hAnsi="Tahoma" w:cs="Tahoma"/>
          <w:sz w:val="20"/>
        </w:rPr>
      </w:pPr>
      <w:r>
        <w:rPr>
          <w:rFonts w:cs="Tahoma" w:ascii="Tahoma" w:hAnsi="Tahoma"/>
          <w:sz w:val="20"/>
        </w:rPr>
      </w:r>
    </w:p>
    <w:p>
      <w:pPr>
        <w:pStyle w:val="Normal"/>
        <w:rPr>
          <w:rFonts w:ascii="Tahoma" w:hAnsi="Tahoma" w:cs="Tahoma"/>
          <w:sz w:val="20"/>
        </w:rPr>
      </w:pPr>
      <w:r>
        <w:rPr>
          <w:rFonts w:cs="Tahoma" w:ascii="Tahoma" w:hAnsi="Tahoma"/>
          <w:sz w:val="20"/>
        </w:rPr>
      </w:r>
    </w:p>
    <w:tbl>
      <w:tblPr>
        <w:tblStyle w:val="TableGrid"/>
        <w:tblW w:w="14312"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3938"/>
        <w:gridCol w:w="1599"/>
        <w:gridCol w:w="734"/>
        <w:gridCol w:w="704"/>
        <w:gridCol w:w="1580"/>
        <w:gridCol w:w="1464"/>
        <w:gridCol w:w="1466"/>
        <w:gridCol w:w="2826"/>
      </w:tblGrid>
      <w:tr>
        <w:trPr/>
        <w:tc>
          <w:tcPr>
            <w:tcW w:w="14311" w:type="dxa"/>
            <w:gridSpan w:val="8"/>
            <w:tcBorders/>
            <w:shd w:color="auto" w:fill="A8D08D" w:themeFill="accent6" w:themeFillTint="99" w:val="clear"/>
          </w:tcPr>
          <w:p>
            <w:pPr>
              <w:pStyle w:val="Normal"/>
              <w:widowControl w:val="false"/>
              <w:suppressAutoHyphens w:val="true"/>
              <w:spacing w:lineRule="auto" w:line="240" w:before="0" w:after="120"/>
              <w:jc w:val="start"/>
              <w:rPr>
                <w:rFonts w:ascii="Tahoma" w:hAnsi="Tahoma" w:eastAsia="Times New Roman" w:cs="Tahoma"/>
                <w:sz w:val="18"/>
                <w:szCs w:val="20"/>
                <w:lang w:eastAsia="sr-Latn-RS"/>
              </w:rPr>
            </w:pPr>
            <w:r>
              <w:rPr>
                <w:rFonts w:eastAsia="Calibri" w:cs="Tahoma" w:ascii="Tahoma" w:hAnsi="Tahoma"/>
                <w:b/>
                <w:kern w:val="2"/>
                <w:sz w:val="18"/>
                <w:szCs w:val="20"/>
                <w:lang w:val="en-US" w:eastAsia="en-US" w:bidi="ar-SA"/>
              </w:rPr>
              <w:t xml:space="preserve">МЕРА 3.1. </w:t>
            </w:r>
            <w:r>
              <w:rPr>
                <w:rFonts w:eastAsia="Times New Roman" w:cs="Tahoma" w:ascii="Tahoma" w:hAnsi="Tahoma"/>
                <w:b/>
                <w:kern w:val="2"/>
                <w:sz w:val="18"/>
                <w:szCs w:val="20"/>
                <w:lang w:val="en-US" w:eastAsia="sr-Latn-RS" w:bidi="ar-SA"/>
              </w:rPr>
              <w:t>Информисање јавности/потенцијалних корисника о доступним услугама</w:t>
            </w:r>
          </w:p>
        </w:tc>
      </w:tr>
      <w:tr>
        <w:trPr/>
        <w:tc>
          <w:tcPr>
            <w:tcW w:w="3938" w:type="dxa"/>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Организациона јединица одговорна за спровођење (координисање спровођења) мере</w:t>
            </w:r>
          </w:p>
        </w:tc>
        <w:tc>
          <w:tcPr>
            <w:tcW w:w="2333"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Извор финансирања</w:t>
            </w:r>
          </w:p>
        </w:tc>
        <w:tc>
          <w:tcPr>
            <w:tcW w:w="2284"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bCs/>
                <w:sz w:val="18"/>
                <w:szCs w:val="20"/>
              </w:rPr>
            </w:pPr>
            <w:r>
              <w:rPr>
                <w:rFonts w:eastAsia="Calibri" w:cs="Tahoma" w:ascii="Tahoma" w:hAnsi="Tahoma"/>
                <w:b/>
                <w:bCs/>
                <w:kern w:val="2"/>
                <w:sz w:val="18"/>
                <w:szCs w:val="20"/>
                <w:lang w:val="en-US" w:eastAsia="en-US" w:bidi="ar-SA"/>
              </w:rPr>
              <w:t xml:space="preserve">Веза са програмским буџетом </w:t>
            </w:r>
            <w:r>
              <w:rPr>
                <w:rFonts w:eastAsia="Calibri" w:cs="Tahoma" w:ascii="Tahoma" w:hAnsi="Tahoma"/>
                <w:b/>
                <w:bCs/>
                <w:i/>
                <w:iCs/>
                <w:kern w:val="2"/>
                <w:sz w:val="18"/>
                <w:szCs w:val="20"/>
                <w:lang w:val="en-US" w:eastAsia="en-US" w:bidi="ar-SA"/>
              </w:rPr>
              <w:t>(шифра ПР/ПА/ПЈ)</w:t>
            </w:r>
          </w:p>
        </w:tc>
        <w:tc>
          <w:tcPr>
            <w:tcW w:w="5756" w:type="dxa"/>
            <w:gridSpan w:val="3"/>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Укупно процењена финансијска средства по изворима финансирања у 000 РСД</w:t>
            </w:r>
            <w:r>
              <w:rPr>
                <w:rStyle w:val="FootnoteAnchor"/>
                <w:rFonts w:eastAsia="Calibri" w:cs="Tahoma" w:ascii="Tahoma" w:hAnsi="Tahoma"/>
                <w:b/>
                <w:kern w:val="2"/>
                <w:sz w:val="18"/>
                <w:szCs w:val="22"/>
                <w:lang w:val="en-US" w:eastAsia="en-US" w:bidi="ar-SA"/>
              </w:rPr>
              <w:footnoteReference w:id="83"/>
            </w:r>
          </w:p>
        </w:tc>
      </w:tr>
      <w:tr>
        <w:trPr/>
        <w:tc>
          <w:tcPr>
            <w:tcW w:w="3938" w:type="dxa"/>
            <w:vMerge w:val="continue"/>
            <w:tcBorders/>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2333"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2284"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w:t>
            </w:r>
          </w:p>
        </w:tc>
        <w:tc>
          <w:tcPr>
            <w:tcW w:w="146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w:t>
            </w:r>
          </w:p>
        </w:tc>
        <w:tc>
          <w:tcPr>
            <w:tcW w:w="282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w:t>
            </w:r>
          </w:p>
        </w:tc>
      </w:tr>
      <w:tr>
        <w:trPr/>
        <w:tc>
          <w:tcPr>
            <w:tcW w:w="3938" w:type="dxa"/>
            <w:vMerge w:val="restart"/>
            <w:tcBorders/>
            <w:shd w:color="auto" w:fill="auto" w:val="clear"/>
          </w:tcPr>
          <w:p>
            <w:pPr>
              <w:pStyle w:val="Normal"/>
              <w:widowControl w:val="false"/>
              <w:suppressAutoHyphens w:val="true"/>
              <w:spacing w:lineRule="auto" w:line="240" w:before="60" w:after="60"/>
              <w:jc w:val="start"/>
              <w:rPr>
                <w:rFonts w:ascii="Tahoma" w:hAnsi="Tahoma" w:cs="Tahoma"/>
                <w:bCs/>
                <w:sz w:val="18"/>
                <w:szCs w:val="20"/>
              </w:rPr>
            </w:pPr>
            <w:r>
              <w:rPr>
                <w:rFonts w:eastAsia="Calibri" w:cs="Tahoma" w:ascii="Tahoma" w:hAnsi="Tahoma"/>
                <w:bCs/>
                <w:kern w:val="2"/>
                <w:sz w:val="18"/>
                <w:szCs w:val="20"/>
                <w:lang w:val="en-US" w:eastAsia="en-US" w:bidi="ar-SA"/>
              </w:rPr>
              <w:t>Општинска управа</w:t>
            </w:r>
          </w:p>
        </w:tc>
        <w:tc>
          <w:tcPr>
            <w:tcW w:w="2333" w:type="dxa"/>
            <w:gridSpan w:val="2"/>
            <w:tcBorders/>
            <w:shd w:color="auto" w:fill="auto" w:val="clear"/>
          </w:tcPr>
          <w:p>
            <w:pPr>
              <w:pStyle w:val="Normal"/>
              <w:widowControl w:val="false"/>
              <w:suppressAutoHyphens w:val="true"/>
              <w:spacing w:lineRule="auto" w:line="240" w:before="60" w:after="60"/>
              <w:jc w:val="center"/>
              <w:rPr>
                <w:rFonts w:ascii="Tahoma" w:hAnsi="Tahoma" w:cs="Tahoma"/>
                <w:sz w:val="18"/>
                <w:szCs w:val="20"/>
                <w:highlight w:val="yellow"/>
              </w:rPr>
            </w:pPr>
            <w:r>
              <w:rPr>
                <w:rFonts w:eastAsia="Calibri" w:cs="Tahoma" w:ascii="Tahoma" w:hAnsi="Tahoma"/>
                <w:spacing w:val="-8"/>
                <w:kern w:val="2"/>
                <w:sz w:val="18"/>
                <w:szCs w:val="20"/>
                <w:lang w:val="en-US" w:eastAsia="en-US" w:bidi="ar-SA"/>
              </w:rPr>
              <w:t>01-средства из буџета ЈЛС</w:t>
            </w:r>
          </w:p>
        </w:tc>
        <w:tc>
          <w:tcPr>
            <w:tcW w:w="2284" w:type="dxa"/>
            <w:gridSpan w:val="2"/>
            <w:vMerge w:val="restart"/>
            <w:tcBorders/>
            <w:shd w:color="auto" w:fill="auto" w:val="clea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kern w:val="2"/>
                <w:sz w:val="18"/>
                <w:szCs w:val="20"/>
                <w:lang w:val="en-US" w:eastAsia="en-US" w:bidi="ar-SA"/>
              </w:rPr>
              <w:t>1201-0004</w:t>
            </w:r>
          </w:p>
        </w:tc>
        <w:tc>
          <w:tcPr>
            <w:tcW w:w="1464" w:type="dxa"/>
            <w:tcBorders/>
            <w:shd w:color="auto" w:fill="auto" w:val="clea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kern w:val="2"/>
                <w:sz w:val="18"/>
                <w:szCs w:val="20"/>
                <w:lang w:val="en-US" w:eastAsia="en-US" w:bidi="ar-SA"/>
              </w:rPr>
              <w:t>100</w:t>
            </w:r>
          </w:p>
        </w:tc>
        <w:tc>
          <w:tcPr>
            <w:tcW w:w="1466" w:type="dxa"/>
            <w:tcBorders/>
            <w:shd w:color="auto" w:fill="auto" w:val="clea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2826" w:type="dxa"/>
            <w:tcBorders/>
            <w:shd w:color="auto" w:fill="auto" w:val="clea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kern w:val="2"/>
                <w:sz w:val="18"/>
                <w:szCs w:val="20"/>
                <w:lang w:val="en-US" w:eastAsia="en-US" w:bidi="ar-SA"/>
              </w:rPr>
              <w:t>100</w:t>
            </w:r>
          </w:p>
        </w:tc>
      </w:tr>
      <w:tr>
        <w:trPr/>
        <w:tc>
          <w:tcPr>
            <w:tcW w:w="3938" w:type="dxa"/>
            <w:vMerge w:val="continue"/>
            <w:tcBorders/>
            <w:shd w:color="auto" w:fill="auto" w:val="clear"/>
          </w:tcPr>
          <w:p>
            <w:pPr>
              <w:pStyle w:val="Normal"/>
              <w:widowControl w:val="false"/>
              <w:suppressAutoHyphens w:val="true"/>
              <w:spacing w:lineRule="auto" w:line="240" w:before="60" w:after="60"/>
              <w:jc w:val="start"/>
              <w:rPr>
                <w:rFonts w:ascii="Tahoma" w:hAnsi="Tahoma" w:cs="Tahoma"/>
                <w:bCs/>
                <w:sz w:val="18"/>
                <w:szCs w:val="20"/>
              </w:rPr>
            </w:pPr>
            <w:r>
              <w:rPr>
                <w:rFonts w:cs="Tahoma" w:ascii="Tahoma" w:hAnsi="Tahoma"/>
                <w:bCs/>
                <w:sz w:val="18"/>
                <w:szCs w:val="20"/>
              </w:rPr>
            </w:r>
          </w:p>
        </w:tc>
        <w:tc>
          <w:tcPr>
            <w:tcW w:w="2333" w:type="dxa"/>
            <w:gridSpan w:val="2"/>
            <w:tcBorders/>
            <w:shd w:color="auto" w:fill="auto" w:val="clear"/>
          </w:tcPr>
          <w:p>
            <w:pPr>
              <w:pStyle w:val="Normal"/>
              <w:widowControl w:val="false"/>
              <w:suppressAutoHyphens w:val="true"/>
              <w:spacing w:lineRule="auto" w:line="240" w:before="60" w:after="60"/>
              <w:jc w:val="center"/>
              <w:rPr>
                <w:rFonts w:ascii="Tahoma" w:hAnsi="Tahoma" w:cs="Tahoma"/>
                <w:sz w:val="18"/>
                <w:szCs w:val="20"/>
                <w:highlight w:val="yellow"/>
              </w:rPr>
            </w:pPr>
            <w:r>
              <w:rPr>
                <w:rFonts w:cs="Tahoma" w:ascii="Tahoma" w:hAnsi="Tahoma"/>
                <w:sz w:val="18"/>
                <w:szCs w:val="20"/>
                <w:highlight w:val="yellow"/>
              </w:rPr>
            </w:r>
          </w:p>
        </w:tc>
        <w:tc>
          <w:tcPr>
            <w:tcW w:w="2284" w:type="dxa"/>
            <w:gridSpan w:val="2"/>
            <w:vMerge w:val="continue"/>
            <w:tcBorders/>
            <w:shd w:color="auto" w:fill="auto" w:val="clea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auto" w:val="clea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6" w:type="dxa"/>
            <w:tcBorders/>
            <w:shd w:color="auto" w:fill="auto" w:val="clea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2826" w:type="dxa"/>
            <w:tcBorders/>
            <w:shd w:color="auto" w:fill="auto" w:val="clea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r>
      <w:tr>
        <w:trPr/>
        <w:tc>
          <w:tcPr>
            <w:tcW w:w="6271" w:type="dxa"/>
            <w:gridSpan w:val="3"/>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Период спровођења мере: 2025-2027</w:t>
            </w:r>
          </w:p>
        </w:tc>
        <w:tc>
          <w:tcPr>
            <w:tcW w:w="8040" w:type="dxa"/>
            <w:gridSpan w:val="5"/>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Тип мере</w:t>
            </w:r>
            <w:r>
              <w:rPr>
                <w:rStyle w:val="FootnoteAnchor"/>
                <w:rFonts w:eastAsia="Calibri" w:cs="Tahoma" w:ascii="Tahoma" w:hAnsi="Tahoma"/>
                <w:b/>
                <w:kern w:val="2"/>
                <w:sz w:val="18"/>
                <w:szCs w:val="22"/>
                <w:lang w:val="en-US" w:eastAsia="en-US" w:bidi="ar-SA"/>
              </w:rPr>
              <w:footnoteReference w:id="84"/>
            </w:r>
            <w:r>
              <w:rPr>
                <w:rFonts w:eastAsia="Calibri" w:cs="Tahoma" w:ascii="Tahoma" w:hAnsi="Tahoma"/>
                <w:b/>
                <w:kern w:val="2"/>
                <w:sz w:val="18"/>
                <w:szCs w:val="20"/>
                <w:lang w:val="en-US" w:eastAsia="en-US" w:bidi="ar-SA"/>
              </w:rPr>
              <w:t>: Информативно-едукативна</w:t>
            </w:r>
          </w:p>
        </w:tc>
      </w:tr>
      <w:tr>
        <w:trPr/>
        <w:tc>
          <w:tcPr>
            <w:tcW w:w="14311" w:type="dxa"/>
            <w:gridSpan w:val="8"/>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Cs/>
                <w:sz w:val="18"/>
                <w:szCs w:val="20"/>
              </w:rPr>
            </w:pPr>
            <w:r>
              <w:rPr>
                <w:rFonts w:eastAsia="Calibri" w:cs="Tahoma" w:ascii="Tahoma" w:hAnsi="Tahoma"/>
                <w:bCs/>
                <w:kern w:val="2"/>
                <w:sz w:val="18"/>
                <w:szCs w:val="20"/>
                <w:lang w:val="en-US" w:eastAsia="en-US" w:bidi="ar-SA"/>
              </w:rPr>
              <w:t xml:space="preserve">Прописи које је потребно изменити/усвојити за спровођење мере: </w:t>
            </w:r>
            <w:r>
              <w:rPr>
                <w:rFonts w:eastAsia="Calibri" w:cs="Tahoma" w:ascii="Tahoma" w:hAnsi="Tahoma"/>
                <w:bCs/>
                <w:i/>
                <w:iCs/>
                <w:kern w:val="2"/>
                <w:sz w:val="18"/>
                <w:szCs w:val="20"/>
                <w:lang w:val="en-US" w:eastAsia="en-US" w:bidi="ar-SA"/>
              </w:rPr>
              <w:t>н/п</w:t>
            </w:r>
          </w:p>
        </w:tc>
      </w:tr>
      <w:tr>
        <w:trPr/>
        <w:tc>
          <w:tcPr>
            <w:tcW w:w="3938" w:type="dxa"/>
            <w:tcBorders/>
            <w:shd w:color="auto" w:fill="D9E2F3" w:themeFill="accent1" w:themeFillTint="33" w:val="clear"/>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b/>
                <w:kern w:val="2"/>
                <w:sz w:val="18"/>
                <w:szCs w:val="20"/>
                <w:lang w:val="en-US" w:eastAsia="en-US" w:bidi="ar-SA"/>
              </w:rPr>
              <w:t>Показатељ(и) на нивоу мере</w:t>
            </w:r>
          </w:p>
        </w:tc>
        <w:tc>
          <w:tcPr>
            <w:tcW w:w="1599"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Jединица мере</w:t>
            </w:r>
          </w:p>
        </w:tc>
        <w:tc>
          <w:tcPr>
            <w:tcW w:w="1438" w:type="dxa"/>
            <w:gridSpan w:val="2"/>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Извор провере</w:t>
            </w:r>
          </w:p>
        </w:tc>
        <w:tc>
          <w:tcPr>
            <w:tcW w:w="158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Почетна вредност са базном годином</w:t>
            </w:r>
          </w:p>
        </w:tc>
        <w:tc>
          <w:tcPr>
            <w:tcW w:w="1464"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2025</w:t>
            </w:r>
          </w:p>
        </w:tc>
        <w:tc>
          <w:tcPr>
            <w:tcW w:w="146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2026</w:t>
            </w:r>
          </w:p>
        </w:tc>
        <w:tc>
          <w:tcPr>
            <w:tcW w:w="282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2027</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Број локалних установа и ОЦД које су укључене у информисање</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38" w:type="dxa"/>
            <w:gridSpan w:val="2"/>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Извештај општинске управе и ЦСР</w:t>
            </w:r>
          </w:p>
        </w:tc>
        <w:tc>
          <w:tcPr>
            <w:tcW w:w="158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0 (2024)</w:t>
            </w:r>
          </w:p>
        </w:tc>
        <w:tc>
          <w:tcPr>
            <w:tcW w:w="1464"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Најмање 5</w:t>
            </w:r>
          </w:p>
        </w:tc>
        <w:tc>
          <w:tcPr>
            <w:tcW w:w="1466"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Најмање 5</w:t>
            </w:r>
          </w:p>
        </w:tc>
        <w:tc>
          <w:tcPr>
            <w:tcW w:w="2826"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Најмање 5</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Број објава на веб сајту и друштвеним мрежама Општине Беочин и локалних установа и ОЦД на месечном нивоу</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38" w:type="dxa"/>
            <w:gridSpan w:val="2"/>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Извештај општинске управе и ЦСР</w:t>
            </w:r>
          </w:p>
        </w:tc>
        <w:tc>
          <w:tcPr>
            <w:tcW w:w="158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0 (2024)</w:t>
            </w:r>
          </w:p>
        </w:tc>
        <w:tc>
          <w:tcPr>
            <w:tcW w:w="1464"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Најмање 5</w:t>
            </w:r>
          </w:p>
        </w:tc>
        <w:tc>
          <w:tcPr>
            <w:tcW w:w="1466"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Најмање 5</w:t>
            </w:r>
          </w:p>
        </w:tc>
        <w:tc>
          <w:tcPr>
            <w:tcW w:w="2826"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Најмање 5</w:t>
            </w:r>
          </w:p>
        </w:tc>
      </w:tr>
    </w:tbl>
    <w:p>
      <w:pPr>
        <w:pStyle w:val="Normal"/>
        <w:rPr>
          <w:rFonts w:ascii="Tahoma" w:hAnsi="Tahoma" w:cs="Tahoma"/>
          <w:sz w:val="20"/>
        </w:rPr>
      </w:pPr>
      <w:r>
        <w:rPr>
          <w:rFonts w:cs="Tahoma" w:ascii="Tahoma" w:hAnsi="Tahoma"/>
          <w:sz w:val="20"/>
        </w:rPr>
      </w:r>
    </w:p>
    <w:tbl>
      <w:tblPr>
        <w:tblStyle w:val="TableGrid"/>
        <w:tblW w:w="14311"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2571"/>
        <w:gridCol w:w="1743"/>
        <w:gridCol w:w="1427"/>
        <w:gridCol w:w="1417"/>
        <w:gridCol w:w="1627"/>
        <w:gridCol w:w="1521"/>
        <w:gridCol w:w="1335"/>
        <w:gridCol w:w="1353"/>
        <w:gridCol w:w="1315"/>
      </w:tblGrid>
      <w:tr>
        <w:trPr>
          <w:trHeight w:val="853" w:hRule="atLeast"/>
        </w:trPr>
        <w:tc>
          <w:tcPr>
            <w:tcW w:w="2571" w:type="dxa"/>
            <w:vMerge w:val="restart"/>
            <w:tcBorders/>
            <w:shd w:color="auto" w:fill="FFFFCC" w:val="clear"/>
            <w:vAlign w:val="center"/>
          </w:tcPr>
          <w:p>
            <w:pPr>
              <w:pStyle w:val="Normal"/>
              <w:widowControl w:val="false"/>
              <w:suppressAutoHyphens w:val="true"/>
              <w:spacing w:lineRule="auto" w:line="240" w:before="60" w:after="60"/>
              <w:jc w:val="start"/>
              <w:rPr>
                <w:rFonts w:ascii="Tahoma" w:hAnsi="Tahoma" w:cs="Tahoma"/>
                <w:b/>
                <w:b/>
                <w:spacing w:val="-8"/>
                <w:sz w:val="18"/>
                <w:szCs w:val="20"/>
              </w:rPr>
            </w:pPr>
            <w:r>
              <w:rPr>
                <w:rFonts w:eastAsia="Calibri" w:cs="Tahoma" w:ascii="Tahoma" w:hAnsi="Tahoma"/>
                <w:b/>
                <w:spacing w:val="-8"/>
                <w:kern w:val="2"/>
                <w:sz w:val="18"/>
                <w:szCs w:val="20"/>
                <w:lang w:val="en-US" w:eastAsia="en-US" w:bidi="ar-SA"/>
              </w:rPr>
              <w:t>Назив активности</w:t>
            </w:r>
          </w:p>
        </w:tc>
        <w:tc>
          <w:tcPr>
            <w:tcW w:w="1743"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Организациона јединица која спроводи активност</w:t>
            </w:r>
          </w:p>
        </w:tc>
        <w:tc>
          <w:tcPr>
            <w:tcW w:w="14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Партнери у спровођењу активности</w:t>
            </w:r>
          </w:p>
        </w:tc>
        <w:tc>
          <w:tcPr>
            <w:tcW w:w="141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Рок за завршетак активности </w:t>
            </w:r>
            <w:r>
              <w:rPr>
                <w:rFonts w:eastAsia="Calibri" w:cs="Tahoma" w:ascii="Tahoma" w:hAnsi="Tahoma"/>
                <w:i/>
                <w:spacing w:val="-8"/>
                <w:kern w:val="2"/>
                <w:sz w:val="18"/>
                <w:szCs w:val="20"/>
                <w:lang w:val="en-US" w:eastAsia="en-US" w:bidi="ar-SA"/>
              </w:rPr>
              <w:t>(квартал, година)</w:t>
            </w:r>
          </w:p>
        </w:tc>
        <w:tc>
          <w:tcPr>
            <w:tcW w:w="16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Извор финансирања</w:t>
            </w:r>
          </w:p>
        </w:tc>
        <w:tc>
          <w:tcPr>
            <w:tcW w:w="1521"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Веза са програмским буџетом </w:t>
            </w:r>
            <w:r>
              <w:rPr>
                <w:rFonts w:eastAsia="Calibri" w:cs="Tahoma" w:ascii="Tahoma" w:hAnsi="Tahoma"/>
                <w:i/>
                <w:spacing w:val="-8"/>
                <w:kern w:val="2"/>
                <w:sz w:val="18"/>
                <w:szCs w:val="20"/>
                <w:lang w:val="en-US" w:eastAsia="en-US" w:bidi="ar-SA"/>
              </w:rPr>
              <w:t>(шифра ПР/ПА/ПЈ)</w:t>
            </w:r>
          </w:p>
        </w:tc>
        <w:tc>
          <w:tcPr>
            <w:tcW w:w="4003" w:type="dxa"/>
            <w:gridSpan w:val="3"/>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Укупно процењена финансијска средства по изворима финансирања у 000 РСД</w:t>
            </w:r>
          </w:p>
        </w:tc>
      </w:tr>
      <w:tr>
        <w:trPr>
          <w:trHeight w:val="144" w:hRule="atLeast"/>
        </w:trPr>
        <w:tc>
          <w:tcPr>
            <w:tcW w:w="2571" w:type="dxa"/>
            <w:vMerge w:val="continue"/>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cs="Tahoma" w:ascii="Tahoma" w:hAnsi="Tahoma"/>
                <w:spacing w:val="-8"/>
                <w:sz w:val="18"/>
                <w:szCs w:val="20"/>
              </w:rPr>
            </w:r>
          </w:p>
        </w:tc>
        <w:tc>
          <w:tcPr>
            <w:tcW w:w="1743"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1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6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521"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33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 година</w:t>
            </w:r>
          </w:p>
        </w:tc>
        <w:tc>
          <w:tcPr>
            <w:tcW w:w="1353"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 година</w:t>
            </w:r>
          </w:p>
        </w:tc>
        <w:tc>
          <w:tcPr>
            <w:tcW w:w="131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 година</w:t>
            </w:r>
          </w:p>
        </w:tc>
      </w:tr>
      <w:tr>
        <w:trPr>
          <w:trHeight w:val="359" w:hRule="atLeast"/>
        </w:trPr>
        <w:tc>
          <w:tcPr>
            <w:tcW w:w="2571" w:type="dxa"/>
            <w:tcBorders/>
            <w:vAlign w:val="center"/>
          </w:tcPr>
          <w:p>
            <w:pPr>
              <w:pStyle w:val="Normal"/>
              <w:widowControl w:val="false"/>
              <w:suppressAutoHyphens w:val="true"/>
              <w:spacing w:lineRule="auto" w:line="240" w:before="0" w:after="0"/>
              <w:jc w:val="start"/>
              <w:rPr>
                <w:rFonts w:ascii="Tahoma" w:hAnsi="Tahoma" w:cs="Tahoma"/>
                <w:sz w:val="18"/>
                <w:szCs w:val="20"/>
              </w:rPr>
            </w:pPr>
            <w:r>
              <w:rPr>
                <w:rFonts w:eastAsia="Calibri" w:cs="Tahoma" w:ascii="Tahoma" w:hAnsi="Tahoma"/>
                <w:spacing w:val="-8"/>
                <w:kern w:val="2"/>
                <w:sz w:val="18"/>
                <w:szCs w:val="20"/>
                <w:lang w:val="en-US" w:eastAsia="en-US" w:bidi="ar-SA"/>
              </w:rPr>
              <w:t>3.1.1.</w:t>
            </w:r>
            <w:r>
              <w:rPr>
                <w:rFonts w:eastAsia="Calibri" w:cs="Tahoma" w:ascii="Tahoma" w:hAnsi="Tahoma"/>
                <w:kern w:val="2"/>
                <w:sz w:val="18"/>
                <w:szCs w:val="20"/>
                <w:lang w:val="en-US" w:eastAsia="en-US" w:bidi="ar-SA"/>
              </w:rPr>
              <w:t xml:space="preserve"> </w:t>
            </w:r>
            <w:r>
              <w:rPr>
                <w:rFonts w:eastAsia="Times New Roman" w:cs="Tahoma" w:ascii="Tahoma" w:hAnsi="Tahoma"/>
                <w:kern w:val="2"/>
                <w:sz w:val="18"/>
                <w:szCs w:val="20"/>
                <w:lang w:val="en-US" w:eastAsia="sr-Latn-RS" w:bidi="ar-SA"/>
              </w:rPr>
              <w:t>Информисање о услугама Помоћ у кући и Лични пратилац детета путем веб сајта и друштвених мрежа Општине и локалних партнер, медија и различитих локалних догађаја</w:t>
            </w:r>
          </w:p>
        </w:tc>
        <w:tc>
          <w:tcPr>
            <w:tcW w:w="174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Општинска управа</w:t>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ЦСР, Локалне установе, ОЦД, медији</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2025</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kern w:val="2"/>
                <w:sz w:val="18"/>
                <w:szCs w:val="20"/>
                <w:lang w:val="en-US" w:eastAsia="en-US" w:bidi="ar-SA"/>
              </w:rPr>
              <w:t>1201-0004</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50</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50</w:t>
            </w:r>
          </w:p>
        </w:tc>
      </w:tr>
      <w:tr>
        <w:trPr>
          <w:trHeight w:val="359" w:hRule="atLeast"/>
        </w:trPr>
        <w:tc>
          <w:tcPr>
            <w:tcW w:w="2571" w:type="dxa"/>
            <w:tcBorders/>
            <w:vAlign w:val="center"/>
          </w:tcPr>
          <w:p>
            <w:pPr>
              <w:pStyle w:val="Normal"/>
              <w:widowControl w:val="false"/>
              <w:suppressAutoHyphens w:val="true"/>
              <w:spacing w:lineRule="auto" w:line="240" w:before="0" w:after="0"/>
              <w:jc w:val="start"/>
              <w:rPr>
                <w:rFonts w:ascii="Tahoma" w:hAnsi="Tahoma" w:cs="Tahoma"/>
                <w:spacing w:val="-8"/>
                <w:sz w:val="18"/>
                <w:szCs w:val="20"/>
              </w:rPr>
            </w:pPr>
            <w:r>
              <w:rPr>
                <w:rFonts w:eastAsia="Calibri" w:cs="Tahoma" w:ascii="Tahoma" w:hAnsi="Tahoma"/>
                <w:kern w:val="2"/>
                <w:sz w:val="18"/>
                <w:szCs w:val="20"/>
                <w:lang w:val="en-US" w:eastAsia="en-US" w:bidi="ar-SA"/>
              </w:rPr>
              <w:t xml:space="preserve">3.1.2. </w:t>
            </w:r>
            <w:r>
              <w:rPr>
                <w:rFonts w:eastAsia="Times New Roman" w:cs="Tahoma" w:ascii="Tahoma" w:hAnsi="Tahoma"/>
                <w:kern w:val="2"/>
                <w:sz w:val="18"/>
                <w:szCs w:val="20"/>
                <w:lang w:val="en-US" w:eastAsia="sr-Latn-RS" w:bidi="ar-SA"/>
              </w:rPr>
              <w:t>Информисање грађана о доступним услугама у области превенције и заштите од насиља (СОС телефони на националном и покрајинском нивоу), путем веб сајта и друштвених мрежа Општине и локалних партнер, медија и различитих локалних догађаја</w:t>
            </w:r>
          </w:p>
        </w:tc>
        <w:tc>
          <w:tcPr>
            <w:tcW w:w="174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Општинска управа</w:t>
            </w:r>
          </w:p>
        </w:tc>
        <w:tc>
          <w:tcPr>
            <w:tcW w:w="14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ЦСР, Локалне установе, ОЦД, медији</w:t>
            </w:r>
          </w:p>
        </w:tc>
        <w:tc>
          <w:tcPr>
            <w:tcW w:w="141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1521"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kern w:val="2"/>
                <w:sz w:val="18"/>
                <w:szCs w:val="20"/>
                <w:lang w:val="en-US" w:eastAsia="en-US" w:bidi="ar-SA"/>
              </w:rPr>
              <w:t>1201-0004</w:t>
            </w:r>
          </w:p>
        </w:tc>
        <w:tc>
          <w:tcPr>
            <w:tcW w:w="133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50</w:t>
            </w:r>
          </w:p>
        </w:tc>
        <w:tc>
          <w:tcPr>
            <w:tcW w:w="135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50</w:t>
            </w:r>
          </w:p>
        </w:tc>
      </w:tr>
    </w:tbl>
    <w:p>
      <w:pPr>
        <w:pStyle w:val="Normal"/>
        <w:spacing w:before="60" w:after="60"/>
        <w:jc w:val="center"/>
        <w:rPr>
          <w:rFonts w:ascii="Tahoma" w:hAnsi="Tahoma" w:cs="Tahoma"/>
          <w:spacing w:val="-8"/>
          <w:sz w:val="18"/>
          <w:szCs w:val="20"/>
        </w:rPr>
      </w:pPr>
      <w:r>
        <w:rPr>
          <w:rFonts w:cs="Tahoma" w:ascii="Tahoma" w:hAnsi="Tahoma"/>
          <w:spacing w:val="-8"/>
          <w:sz w:val="18"/>
          <w:szCs w:val="20"/>
        </w:rPr>
      </w:r>
    </w:p>
    <w:p>
      <w:pPr>
        <w:pStyle w:val="Normal"/>
        <w:rPr>
          <w:rFonts w:ascii="Tahoma" w:hAnsi="Tahoma" w:cs="Tahoma"/>
          <w:sz w:val="20"/>
        </w:rPr>
      </w:pPr>
      <w:r>
        <w:rPr>
          <w:rFonts w:cs="Tahoma" w:ascii="Tahoma" w:hAnsi="Tahoma"/>
          <w:sz w:val="20"/>
        </w:rPr>
      </w:r>
    </w:p>
    <w:tbl>
      <w:tblPr>
        <w:tblStyle w:val="TableGrid"/>
        <w:tblW w:w="14312"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3938"/>
        <w:gridCol w:w="1599"/>
        <w:gridCol w:w="734"/>
        <w:gridCol w:w="704"/>
        <w:gridCol w:w="1580"/>
        <w:gridCol w:w="1464"/>
        <w:gridCol w:w="1466"/>
        <w:gridCol w:w="2826"/>
      </w:tblGrid>
      <w:tr>
        <w:trPr/>
        <w:tc>
          <w:tcPr>
            <w:tcW w:w="14311" w:type="dxa"/>
            <w:gridSpan w:val="8"/>
            <w:tcBorders/>
            <w:shd w:color="auto" w:fill="A8D08D" w:themeFill="accent6" w:themeFillTint="99" w:val="clear"/>
          </w:tcPr>
          <w:p>
            <w:pPr>
              <w:pStyle w:val="Normal"/>
              <w:widowControl w:val="false"/>
              <w:suppressAutoHyphens w:val="true"/>
              <w:spacing w:lineRule="auto" w:line="240" w:before="0" w:after="120"/>
              <w:jc w:val="start"/>
              <w:rPr>
                <w:rFonts w:ascii="Tahoma" w:hAnsi="Tahoma" w:cs="Tahoma"/>
                <w:b/>
                <w:b/>
                <w:sz w:val="18"/>
                <w:szCs w:val="20"/>
              </w:rPr>
            </w:pPr>
            <w:r>
              <w:rPr>
                <w:rFonts w:eastAsia="Calibri" w:cs="Tahoma" w:ascii="Tahoma" w:hAnsi="Tahoma"/>
                <w:b/>
                <w:kern w:val="2"/>
                <w:sz w:val="18"/>
                <w:szCs w:val="20"/>
                <w:lang w:val="en-US" w:eastAsia="en-US" w:bidi="ar-SA"/>
              </w:rPr>
              <w:t>МЕРА 3.2. Спровођење п</w:t>
            </w:r>
            <w:r>
              <w:rPr>
                <w:rFonts w:eastAsia="Times New Roman" w:cs="Tahoma" w:ascii="Tahoma" w:hAnsi="Tahoma"/>
                <w:b/>
                <w:kern w:val="2"/>
                <w:sz w:val="18"/>
                <w:szCs w:val="20"/>
                <w:lang w:val="en-US" w:eastAsia="sr-Latn-RS" w:bidi="ar-SA"/>
              </w:rPr>
              <w:t>ревентивних и промотивних информативно-едукативних кампања којима се развија свест о друштвеним проблемима и солидарности</w:t>
            </w:r>
          </w:p>
        </w:tc>
      </w:tr>
      <w:tr>
        <w:trPr/>
        <w:tc>
          <w:tcPr>
            <w:tcW w:w="3938" w:type="dxa"/>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Организациона јединица одговорна за спровођење (координисање спровођења) мере</w:t>
            </w:r>
          </w:p>
        </w:tc>
        <w:tc>
          <w:tcPr>
            <w:tcW w:w="2333"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Извор финансирања</w:t>
            </w:r>
          </w:p>
        </w:tc>
        <w:tc>
          <w:tcPr>
            <w:tcW w:w="2284" w:type="dxa"/>
            <w:gridSpan w:val="2"/>
            <w:vMerge w:val="restart"/>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bCs/>
                <w:sz w:val="18"/>
                <w:szCs w:val="20"/>
              </w:rPr>
            </w:pPr>
            <w:r>
              <w:rPr>
                <w:rFonts w:eastAsia="Calibri" w:cs="Tahoma" w:ascii="Tahoma" w:hAnsi="Tahoma"/>
                <w:b/>
                <w:bCs/>
                <w:kern w:val="2"/>
                <w:sz w:val="18"/>
                <w:szCs w:val="20"/>
                <w:lang w:val="en-US" w:eastAsia="en-US" w:bidi="ar-SA"/>
              </w:rPr>
              <w:t xml:space="preserve">Веза са програмским буџетом </w:t>
            </w:r>
            <w:r>
              <w:rPr>
                <w:rFonts w:eastAsia="Calibri" w:cs="Tahoma" w:ascii="Tahoma" w:hAnsi="Tahoma"/>
                <w:b/>
                <w:bCs/>
                <w:i/>
                <w:iCs/>
                <w:kern w:val="2"/>
                <w:sz w:val="18"/>
                <w:szCs w:val="20"/>
                <w:lang w:val="en-US" w:eastAsia="en-US" w:bidi="ar-SA"/>
              </w:rPr>
              <w:t>(шифра ПР/ПА/ПЈ)</w:t>
            </w:r>
          </w:p>
        </w:tc>
        <w:tc>
          <w:tcPr>
            <w:tcW w:w="5756" w:type="dxa"/>
            <w:gridSpan w:val="3"/>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Укупно процењена финансијска средства по изворима финансирања у 000 РСД</w:t>
            </w:r>
            <w:r>
              <w:rPr>
                <w:rStyle w:val="FootnoteAnchor"/>
                <w:rFonts w:eastAsia="Calibri" w:cs="Tahoma" w:ascii="Tahoma" w:hAnsi="Tahoma"/>
                <w:b/>
                <w:kern w:val="2"/>
                <w:sz w:val="18"/>
                <w:szCs w:val="22"/>
                <w:lang w:val="en-US" w:eastAsia="en-US" w:bidi="ar-SA"/>
              </w:rPr>
              <w:footnoteReference w:id="85"/>
            </w:r>
          </w:p>
        </w:tc>
      </w:tr>
      <w:tr>
        <w:trPr/>
        <w:tc>
          <w:tcPr>
            <w:tcW w:w="3938" w:type="dxa"/>
            <w:vMerge w:val="continue"/>
            <w:tcBorders/>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2333"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cs="Tahoma" w:ascii="Tahoma" w:hAnsi="Tahoma"/>
                <w:sz w:val="18"/>
                <w:szCs w:val="20"/>
              </w:rPr>
            </w:r>
          </w:p>
        </w:tc>
        <w:tc>
          <w:tcPr>
            <w:tcW w:w="2284" w:type="dxa"/>
            <w:gridSpan w:val="2"/>
            <w:vMerge w:val="continue"/>
            <w:tcBorders/>
            <w:vAlign w:val="center"/>
          </w:tcPr>
          <w:p>
            <w:pPr>
              <w:pStyle w:val="Normal"/>
              <w:widowControl w:val="false"/>
              <w:suppressAutoHyphens w:val="true"/>
              <w:spacing w:lineRule="auto" w:line="240" w:before="60" w:after="60"/>
              <w:jc w:val="center"/>
              <w:rPr>
                <w:rFonts w:ascii="Tahoma" w:hAnsi="Tahoma" w:cs="Tahoma"/>
                <w:b/>
                <w:b/>
                <w:sz w:val="18"/>
                <w:szCs w:val="20"/>
              </w:rPr>
            </w:pPr>
            <w:r>
              <w:rPr>
                <w:rFonts w:cs="Tahoma" w:ascii="Tahoma" w:hAnsi="Tahoma"/>
                <w:b/>
                <w:sz w:val="18"/>
                <w:szCs w:val="20"/>
              </w:rPr>
            </w:r>
          </w:p>
        </w:tc>
        <w:tc>
          <w:tcPr>
            <w:tcW w:w="1464"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w:t>
            </w:r>
          </w:p>
        </w:tc>
        <w:tc>
          <w:tcPr>
            <w:tcW w:w="146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w:t>
            </w:r>
          </w:p>
        </w:tc>
        <w:tc>
          <w:tcPr>
            <w:tcW w:w="2826" w:type="dxa"/>
            <w:tcBorders/>
            <w:shd w:color="auto" w:fill="C5E0B3" w:themeFill="accent6" w:themeFillTint="66"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w:t>
            </w:r>
          </w:p>
        </w:tc>
      </w:tr>
      <w:tr>
        <w:trPr>
          <w:trHeight w:val="685" w:hRule="atLeast"/>
        </w:trPr>
        <w:tc>
          <w:tcPr>
            <w:tcW w:w="3938" w:type="dxa"/>
            <w:tcBorders/>
            <w:shd w:color="auto" w:fill="auto" w:val="clear"/>
          </w:tcPr>
          <w:p>
            <w:pPr>
              <w:pStyle w:val="Normal"/>
              <w:widowControl w:val="false"/>
              <w:suppressAutoHyphens w:val="true"/>
              <w:spacing w:lineRule="auto" w:line="240" w:before="60" w:after="60"/>
              <w:jc w:val="start"/>
              <w:rPr>
                <w:rFonts w:ascii="Calibri" w:hAnsi="Calibri" w:eastAsia="Calibri" w:cs="Arial"/>
                <w:kern w:val="2"/>
                <w:sz w:val="22"/>
                <w:szCs w:val="22"/>
                <w:lang w:val="en-US" w:eastAsia="en-US" w:bidi="ar-SA"/>
              </w:rPr>
            </w:pPr>
            <w:r>
              <w:rPr>
                <w:rFonts w:eastAsia="Calibri" w:cs="Tahoma" w:ascii="Tahoma" w:hAnsi="Tahoma"/>
                <w:bCs/>
                <w:kern w:val="2"/>
                <w:sz w:val="18"/>
                <w:szCs w:val="20"/>
                <w:lang w:val="en-US" w:eastAsia="en-US" w:bidi="ar-SA"/>
              </w:rPr>
              <w:t>Општинска управа</w:t>
            </w:r>
          </w:p>
        </w:tc>
        <w:tc>
          <w:tcPr>
            <w:tcW w:w="2333" w:type="dxa"/>
            <w:gridSpan w:val="2"/>
            <w:tcBorders/>
            <w:shd w:color="auto" w:fill="auto" w:val="clea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spacing w:val="-8"/>
                <w:kern w:val="2"/>
                <w:sz w:val="18"/>
                <w:szCs w:val="20"/>
                <w:lang w:val="en-US" w:eastAsia="en-US" w:bidi="ar-SA"/>
              </w:rPr>
              <w:t>01-средства из буџета ЈЛС</w:t>
            </w:r>
          </w:p>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Редовне активности</w:t>
            </w:r>
          </w:p>
        </w:tc>
        <w:tc>
          <w:tcPr>
            <w:tcW w:w="2284" w:type="dxa"/>
            <w:gridSpan w:val="2"/>
            <w:tcBorders/>
            <w:shd w:color="auto" w:fill="auto" w:val="clea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kern w:val="2"/>
                <w:sz w:val="18"/>
                <w:szCs w:val="20"/>
                <w:lang w:val="en-US" w:eastAsia="en-US" w:bidi="ar-SA"/>
              </w:rPr>
              <w:t>0602-0001</w:t>
            </w:r>
          </w:p>
        </w:tc>
        <w:tc>
          <w:tcPr>
            <w:tcW w:w="1464" w:type="dxa"/>
            <w:tcBorders/>
            <w:shd w:color="auto" w:fill="auto" w:val="clea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b/>
                <w:kern w:val="2"/>
                <w:sz w:val="18"/>
                <w:szCs w:val="20"/>
                <w:shd w:fill="auto" w:val="clear"/>
                <w:lang w:val="en-US" w:eastAsia="en-US" w:bidi="ar-SA"/>
                <w14:ligatures w14:val="standardContextual"/>
              </w:rPr>
              <w:t>0</w:t>
            </w:r>
          </w:p>
        </w:tc>
        <w:tc>
          <w:tcPr>
            <w:tcW w:w="1466" w:type="dxa"/>
            <w:tcBorders/>
            <w:shd w:color="auto" w:fill="auto" w:val="clea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b/>
                <w:kern w:val="2"/>
                <w:sz w:val="18"/>
                <w:szCs w:val="20"/>
                <w:shd w:fill="auto" w:val="clear"/>
                <w:lang w:val="en-US" w:eastAsia="en-US" w:bidi="ar-SA"/>
                <w14:ligatures w14:val="standardContextual"/>
              </w:rPr>
              <w:t>0</w:t>
            </w:r>
          </w:p>
        </w:tc>
        <w:tc>
          <w:tcPr>
            <w:tcW w:w="2826" w:type="dxa"/>
            <w:tcBorders/>
            <w:shd w:color="auto" w:fill="auto" w:val="clear"/>
          </w:tcPr>
          <w:p>
            <w:pPr>
              <w:pStyle w:val="Normal"/>
              <w:widowControl w:val="false"/>
              <w:suppressAutoHyphens w:val="true"/>
              <w:spacing w:lineRule="auto" w:line="240" w:before="60" w:after="60"/>
              <w:jc w:val="center"/>
              <w:rPr>
                <w:rFonts w:ascii="Arial" w:hAnsi="Arial" w:eastAsia="Arial" w:cs="DejaVu Sans" w:asciiTheme="minorHAnsi" w:cstheme="minorBidi" w:eastAsiaTheme="minorHAnsi" w:hAnsiTheme="minorHAnsi"/>
                <w:shd w:fill="auto" w:val="clear"/>
                <w14:ligatures w14:val="standardContextual"/>
              </w:rPr>
            </w:pPr>
            <w:r>
              <w:rPr>
                <w:rFonts w:eastAsia="Arial" w:cs="Tahoma" w:ascii="Tahoma" w:hAnsi="Tahoma" w:eastAsiaTheme="minorHAnsi"/>
                <w:kern w:val="2"/>
                <w:sz w:val="18"/>
                <w:szCs w:val="20"/>
                <w:shd w:fill="auto" w:val="clear"/>
                <w:lang w:val="en-US" w:eastAsia="en-US" w:bidi="ar-SA"/>
                <w14:ligatures w14:val="standardContextual"/>
              </w:rPr>
              <w:t>150</w:t>
            </w:r>
          </w:p>
          <w:p>
            <w:pPr>
              <w:pStyle w:val="Normal"/>
              <w:widowControl w:val="false"/>
              <w:suppressAutoHyphens w:val="true"/>
              <w:spacing w:lineRule="auto" w:line="240" w:before="60" w:after="60"/>
              <w:jc w:val="center"/>
              <w:rPr>
                <w:rFonts w:ascii="Tahoma" w:hAnsi="Tahoma" w:cs="Tahoma"/>
                <w:b/>
                <w:b/>
                <w:sz w:val="18"/>
                <w:szCs w:val="20"/>
                <w:shd w:fill="auto" w:val="clear"/>
                <w14:ligatures w14:val="standardContextual"/>
              </w:rPr>
            </w:pPr>
            <w:r>
              <w:rPr>
                <w:rFonts w:cs="Tahoma" w:ascii="Tahoma" w:hAnsi="Tahoma"/>
                <w:b/>
                <w:sz w:val="18"/>
                <w:szCs w:val="20"/>
                <w:shd w:fill="auto" w:val="clear"/>
                <w14:ligatures w14:val="standardContextual"/>
              </w:rPr>
            </w:r>
          </w:p>
        </w:tc>
      </w:tr>
      <w:tr>
        <w:trPr/>
        <w:tc>
          <w:tcPr>
            <w:tcW w:w="6271" w:type="dxa"/>
            <w:gridSpan w:val="3"/>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Период спровођења мере: 2025-2026</w:t>
            </w:r>
          </w:p>
        </w:tc>
        <w:tc>
          <w:tcPr>
            <w:tcW w:w="8040" w:type="dxa"/>
            <w:gridSpan w:val="5"/>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
                <w:b/>
                <w:sz w:val="18"/>
                <w:szCs w:val="20"/>
              </w:rPr>
            </w:pPr>
            <w:r>
              <w:rPr>
                <w:rFonts w:eastAsia="Calibri" w:cs="Tahoma" w:ascii="Tahoma" w:hAnsi="Tahoma"/>
                <w:b/>
                <w:kern w:val="2"/>
                <w:sz w:val="18"/>
                <w:szCs w:val="20"/>
                <w:lang w:val="en-US" w:eastAsia="en-US" w:bidi="ar-SA"/>
              </w:rPr>
              <w:t>Тип мере</w:t>
            </w:r>
            <w:r>
              <w:rPr>
                <w:rStyle w:val="FootnoteAnchor"/>
                <w:rFonts w:eastAsia="Calibri" w:cs="Tahoma" w:ascii="Tahoma" w:hAnsi="Tahoma"/>
                <w:b/>
                <w:kern w:val="2"/>
                <w:sz w:val="18"/>
                <w:szCs w:val="22"/>
                <w:lang w:val="en-US" w:eastAsia="en-US" w:bidi="ar-SA"/>
              </w:rPr>
              <w:footnoteReference w:id="86"/>
            </w:r>
            <w:r>
              <w:rPr>
                <w:rFonts w:eastAsia="Calibri" w:cs="Tahoma" w:ascii="Tahoma" w:hAnsi="Tahoma"/>
                <w:b/>
                <w:kern w:val="2"/>
                <w:sz w:val="18"/>
                <w:szCs w:val="20"/>
                <w:lang w:val="en-US" w:eastAsia="en-US" w:bidi="ar-SA"/>
              </w:rPr>
              <w:t>: Информативно-едукативна</w:t>
            </w:r>
          </w:p>
        </w:tc>
      </w:tr>
      <w:tr>
        <w:trPr/>
        <w:tc>
          <w:tcPr>
            <w:tcW w:w="14311" w:type="dxa"/>
            <w:gridSpan w:val="8"/>
            <w:tcBorders/>
            <w:shd w:color="auto" w:fill="C5E0B3" w:themeFill="accent6" w:themeFillTint="66" w:val="clear"/>
          </w:tcPr>
          <w:p>
            <w:pPr>
              <w:pStyle w:val="Normal"/>
              <w:widowControl w:val="false"/>
              <w:suppressAutoHyphens w:val="true"/>
              <w:spacing w:lineRule="auto" w:line="240" w:before="60" w:after="60"/>
              <w:jc w:val="start"/>
              <w:rPr>
                <w:rFonts w:ascii="Tahoma" w:hAnsi="Tahoma" w:cs="Tahoma"/>
                <w:bCs/>
                <w:sz w:val="18"/>
                <w:szCs w:val="20"/>
              </w:rPr>
            </w:pPr>
            <w:r>
              <w:rPr>
                <w:rFonts w:eastAsia="Calibri" w:cs="Tahoma" w:ascii="Tahoma" w:hAnsi="Tahoma"/>
                <w:bCs/>
                <w:kern w:val="2"/>
                <w:sz w:val="18"/>
                <w:szCs w:val="20"/>
                <w:lang w:val="en-US" w:eastAsia="en-US" w:bidi="ar-SA"/>
              </w:rPr>
              <w:t xml:space="preserve">Прописи које је потребно изменити/усвојити за спровођење мере: </w:t>
            </w:r>
            <w:r>
              <w:rPr>
                <w:rFonts w:eastAsia="Calibri" w:cs="Tahoma" w:ascii="Tahoma" w:hAnsi="Tahoma"/>
                <w:bCs/>
                <w:i/>
                <w:iCs/>
                <w:kern w:val="2"/>
                <w:sz w:val="18"/>
                <w:szCs w:val="20"/>
                <w:lang w:val="en-US" w:eastAsia="en-US" w:bidi="ar-SA"/>
              </w:rPr>
              <w:t>н/п</w:t>
            </w:r>
          </w:p>
        </w:tc>
      </w:tr>
      <w:tr>
        <w:trPr/>
        <w:tc>
          <w:tcPr>
            <w:tcW w:w="3938" w:type="dxa"/>
            <w:tcBorders/>
            <w:shd w:color="auto" w:fill="D9E2F3" w:themeFill="accent1" w:themeFillTint="33" w:val="clear"/>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b/>
                <w:kern w:val="2"/>
                <w:sz w:val="18"/>
                <w:szCs w:val="20"/>
                <w:lang w:val="en-US" w:eastAsia="en-US" w:bidi="ar-SA"/>
              </w:rPr>
              <w:t>Показатељ(и) на нивоу мере</w:t>
            </w:r>
          </w:p>
        </w:tc>
        <w:tc>
          <w:tcPr>
            <w:tcW w:w="1599"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Jединица мере</w:t>
            </w:r>
          </w:p>
        </w:tc>
        <w:tc>
          <w:tcPr>
            <w:tcW w:w="1438" w:type="dxa"/>
            <w:gridSpan w:val="2"/>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Извор провере</w:t>
            </w:r>
          </w:p>
        </w:tc>
        <w:tc>
          <w:tcPr>
            <w:tcW w:w="1580"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Почетна вредност са базном годином</w:t>
            </w:r>
          </w:p>
        </w:tc>
        <w:tc>
          <w:tcPr>
            <w:tcW w:w="1464"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2025</w:t>
            </w:r>
          </w:p>
        </w:tc>
        <w:tc>
          <w:tcPr>
            <w:tcW w:w="146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2026</w:t>
            </w:r>
          </w:p>
        </w:tc>
        <w:tc>
          <w:tcPr>
            <w:tcW w:w="2826" w:type="dxa"/>
            <w:tcBorders/>
            <w:shd w:color="auto" w:fill="D9E2F3" w:themeFill="accent1" w:themeFillTint="33" w:val="clear"/>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b/>
                <w:kern w:val="2"/>
                <w:sz w:val="18"/>
                <w:szCs w:val="20"/>
                <w:lang w:val="en-US" w:eastAsia="en-US" w:bidi="ar-SA"/>
              </w:rPr>
              <w:t>Циљaна вредност у години 2027</w:t>
            </w:r>
          </w:p>
        </w:tc>
      </w:tr>
      <w:tr>
        <w:trPr/>
        <w:tc>
          <w:tcPr>
            <w:tcW w:w="3938" w:type="dxa"/>
            <w:tcBorders/>
            <w:vAlign w:val="center"/>
          </w:tcPr>
          <w:p>
            <w:pPr>
              <w:pStyle w:val="Normal"/>
              <w:widowControl w:val="false"/>
              <w:suppressAutoHyphens w:val="true"/>
              <w:spacing w:lineRule="auto" w:line="240" w:before="60" w:after="60"/>
              <w:jc w:val="start"/>
              <w:rPr>
                <w:rFonts w:ascii="Tahoma" w:hAnsi="Tahoma" w:cs="Tahoma"/>
                <w:sz w:val="18"/>
                <w:szCs w:val="20"/>
              </w:rPr>
            </w:pPr>
            <w:r>
              <w:rPr>
                <w:rFonts w:eastAsia="Calibri" w:cs="Tahoma" w:ascii="Tahoma" w:hAnsi="Tahoma"/>
                <w:kern w:val="2"/>
                <w:sz w:val="18"/>
                <w:szCs w:val="20"/>
                <w:lang w:val="en-US" w:eastAsia="en-US" w:bidi="ar-SA"/>
              </w:rPr>
              <w:t>Број спроведених информативних кампања</w:t>
            </w:r>
          </w:p>
        </w:tc>
        <w:tc>
          <w:tcPr>
            <w:tcW w:w="1599"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Број</w:t>
            </w:r>
          </w:p>
        </w:tc>
        <w:tc>
          <w:tcPr>
            <w:tcW w:w="1438" w:type="dxa"/>
            <w:gridSpan w:val="2"/>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Извештаји општинске управе, локалних установа и ОЦД</w:t>
            </w:r>
          </w:p>
        </w:tc>
        <w:tc>
          <w:tcPr>
            <w:tcW w:w="1580"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kern w:val="2"/>
                <w:sz w:val="18"/>
                <w:szCs w:val="20"/>
                <w:lang w:val="en-US" w:eastAsia="en-US" w:bidi="ar-SA"/>
              </w:rPr>
              <w:t>Унети број (Жељка је набрајала кампање на састанку 18. новембра)</w:t>
            </w:r>
          </w:p>
        </w:tc>
        <w:tc>
          <w:tcPr>
            <w:tcW w:w="1464"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6</w:t>
            </w:r>
          </w:p>
        </w:tc>
        <w:tc>
          <w:tcPr>
            <w:tcW w:w="146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6</w:t>
            </w:r>
          </w:p>
        </w:tc>
        <w:tc>
          <w:tcPr>
            <w:tcW w:w="2826" w:type="dxa"/>
            <w:tcBorders/>
            <w:vAlign w:val="center"/>
          </w:tcPr>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kern w:val="2"/>
                <w:sz w:val="18"/>
                <w:szCs w:val="20"/>
                <w:lang w:val="en-US" w:eastAsia="en-US" w:bidi="ar-SA"/>
              </w:rPr>
              <w:t>6</w:t>
            </w:r>
          </w:p>
        </w:tc>
      </w:tr>
    </w:tbl>
    <w:p>
      <w:pPr>
        <w:pStyle w:val="Normal"/>
        <w:rPr>
          <w:rFonts w:ascii="Tahoma" w:hAnsi="Tahoma" w:cs="Tahoma"/>
          <w:sz w:val="20"/>
        </w:rPr>
      </w:pPr>
      <w:r>
        <w:rPr>
          <w:rFonts w:cs="Tahoma" w:ascii="Tahoma" w:hAnsi="Tahoma"/>
          <w:sz w:val="20"/>
        </w:rPr>
      </w:r>
    </w:p>
    <w:tbl>
      <w:tblPr>
        <w:tblStyle w:val="TableGrid"/>
        <w:tblW w:w="14311" w:type="dxa"/>
        <w:jc w:val="start"/>
        <w:tblInd w:w="-572" w:type="dxa"/>
        <w:tblLayout w:type="fixed"/>
        <w:tblCellMar>
          <w:top w:w="0" w:type="dxa"/>
          <w:start w:w="108" w:type="dxa"/>
          <w:bottom w:w="0" w:type="dxa"/>
          <w:end w:w="108" w:type="dxa"/>
        </w:tblCellMar>
        <w:tblLook w:firstRow="1" w:noVBand="1" w:lastRow="0" w:firstColumn="1" w:lastColumn="0" w:noHBand="0" w:val="04a0"/>
      </w:tblPr>
      <w:tblGrid>
        <w:gridCol w:w="2567"/>
        <w:gridCol w:w="1744"/>
        <w:gridCol w:w="1433"/>
        <w:gridCol w:w="1418"/>
        <w:gridCol w:w="1624"/>
        <w:gridCol w:w="1527"/>
        <w:gridCol w:w="1349"/>
        <w:gridCol w:w="1332"/>
        <w:gridCol w:w="1315"/>
      </w:tblGrid>
      <w:tr>
        <w:trPr>
          <w:trHeight w:val="853" w:hRule="atLeast"/>
        </w:trPr>
        <w:tc>
          <w:tcPr>
            <w:tcW w:w="2567" w:type="dxa"/>
            <w:vMerge w:val="restart"/>
            <w:tcBorders/>
            <w:shd w:color="auto" w:fill="FFFFCC" w:val="clear"/>
            <w:vAlign w:val="center"/>
          </w:tcPr>
          <w:p>
            <w:pPr>
              <w:pStyle w:val="Normal"/>
              <w:widowControl w:val="false"/>
              <w:suppressAutoHyphens w:val="true"/>
              <w:spacing w:lineRule="auto" w:line="240" w:before="60" w:after="60"/>
              <w:jc w:val="start"/>
              <w:rPr>
                <w:rFonts w:ascii="Tahoma" w:hAnsi="Tahoma" w:cs="Tahoma"/>
                <w:b/>
                <w:b/>
                <w:spacing w:val="-8"/>
                <w:sz w:val="18"/>
                <w:szCs w:val="20"/>
              </w:rPr>
            </w:pPr>
            <w:r>
              <w:rPr>
                <w:rFonts w:eastAsia="Calibri" w:cs="Tahoma" w:ascii="Tahoma" w:hAnsi="Tahoma"/>
                <w:b/>
                <w:spacing w:val="-8"/>
                <w:kern w:val="2"/>
                <w:sz w:val="18"/>
                <w:szCs w:val="20"/>
                <w:lang w:val="en-US" w:eastAsia="en-US" w:bidi="ar-SA"/>
              </w:rPr>
              <w:t>Назив активности</w:t>
            </w:r>
          </w:p>
        </w:tc>
        <w:tc>
          <w:tcPr>
            <w:tcW w:w="1744"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Организациона јединица која спроводи активност</w:t>
            </w:r>
          </w:p>
        </w:tc>
        <w:tc>
          <w:tcPr>
            <w:tcW w:w="1433"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Партнери у спровођењу активности</w:t>
            </w:r>
          </w:p>
        </w:tc>
        <w:tc>
          <w:tcPr>
            <w:tcW w:w="1418"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Рок за завршетак активности </w:t>
            </w:r>
            <w:r>
              <w:rPr>
                <w:rFonts w:eastAsia="Calibri" w:cs="Tahoma" w:ascii="Tahoma" w:hAnsi="Tahoma"/>
                <w:i/>
                <w:spacing w:val="-8"/>
                <w:kern w:val="2"/>
                <w:sz w:val="18"/>
                <w:szCs w:val="20"/>
                <w:lang w:val="en-US" w:eastAsia="en-US" w:bidi="ar-SA"/>
              </w:rPr>
              <w:t>(квартал, година)</w:t>
            </w:r>
          </w:p>
        </w:tc>
        <w:tc>
          <w:tcPr>
            <w:tcW w:w="1624"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Извор финансирања</w:t>
            </w:r>
          </w:p>
        </w:tc>
        <w:tc>
          <w:tcPr>
            <w:tcW w:w="1527" w:type="dxa"/>
            <w:vMerge w:val="restart"/>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 xml:space="preserve">Веза са програмским буџетом </w:t>
            </w:r>
            <w:r>
              <w:rPr>
                <w:rFonts w:eastAsia="Calibri" w:cs="Tahoma" w:ascii="Tahoma" w:hAnsi="Tahoma"/>
                <w:i/>
                <w:spacing w:val="-8"/>
                <w:kern w:val="2"/>
                <w:sz w:val="18"/>
                <w:szCs w:val="20"/>
                <w:lang w:val="en-US" w:eastAsia="en-US" w:bidi="ar-SA"/>
              </w:rPr>
              <w:t>(шифра ПР/ПА/ПЈ)</w:t>
            </w:r>
          </w:p>
        </w:tc>
        <w:tc>
          <w:tcPr>
            <w:tcW w:w="3996" w:type="dxa"/>
            <w:gridSpan w:val="3"/>
            <w:tcBorders/>
            <w:shd w:color="auto" w:fill="FFFFCC" w:val="clear"/>
            <w:vAlign w:val="center"/>
          </w:tcPr>
          <w:p>
            <w:pPr>
              <w:pStyle w:val="Normal"/>
              <w:widowControl w:val="false"/>
              <w:suppressAutoHyphens w:val="true"/>
              <w:spacing w:lineRule="auto" w:line="240" w:before="60" w:after="60"/>
              <w:jc w:val="center"/>
              <w:rPr>
                <w:rFonts w:ascii="Tahoma" w:hAnsi="Tahoma" w:cs="Tahoma"/>
                <w:b/>
                <w:b/>
                <w:spacing w:val="-8"/>
                <w:sz w:val="18"/>
                <w:szCs w:val="20"/>
              </w:rPr>
            </w:pPr>
            <w:r>
              <w:rPr>
                <w:rFonts w:eastAsia="Calibri" w:cs="Tahoma" w:ascii="Tahoma" w:hAnsi="Tahoma"/>
                <w:b/>
                <w:spacing w:val="-8"/>
                <w:kern w:val="2"/>
                <w:sz w:val="18"/>
                <w:szCs w:val="20"/>
                <w:lang w:val="en-US" w:eastAsia="en-US" w:bidi="ar-SA"/>
              </w:rPr>
              <w:t>Укупно процењена финансијска средства по изворима финансирања у 000 РСД</w:t>
            </w:r>
          </w:p>
        </w:tc>
      </w:tr>
      <w:tr>
        <w:trPr>
          <w:trHeight w:val="144" w:hRule="atLeast"/>
        </w:trPr>
        <w:tc>
          <w:tcPr>
            <w:tcW w:w="2567" w:type="dxa"/>
            <w:vMerge w:val="continue"/>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cs="Tahoma" w:ascii="Tahoma" w:hAnsi="Tahoma"/>
                <w:spacing w:val="-8"/>
                <w:sz w:val="18"/>
                <w:szCs w:val="20"/>
              </w:rPr>
            </w:r>
          </w:p>
        </w:tc>
        <w:tc>
          <w:tcPr>
            <w:tcW w:w="1744"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33"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418"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624"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527" w:type="dxa"/>
            <w:vMerge w:val="continue"/>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349"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2025 година</w:t>
            </w:r>
          </w:p>
        </w:tc>
        <w:tc>
          <w:tcPr>
            <w:tcW w:w="1332"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2026 година</w:t>
            </w:r>
          </w:p>
        </w:tc>
        <w:tc>
          <w:tcPr>
            <w:tcW w:w="1315" w:type="dxa"/>
            <w:tcBorders/>
            <w:shd w:color="auto" w:fill="FFFFCC" w:val="clear"/>
            <w:vAlign w:val="center"/>
          </w:tcPr>
          <w:p>
            <w:pPr>
              <w:pStyle w:val="Normal"/>
              <w:widowControl w:val="false"/>
              <w:suppressAutoHyphens w:val="true"/>
              <w:spacing w:lineRule="auto" w:line="240" w:before="60" w:after="60"/>
              <w:jc w:val="center"/>
              <w:rPr>
                <w:rFonts w:ascii="Tahoma" w:hAnsi="Tahoma" w:cs="Tahoma"/>
                <w:b/>
                <w:b/>
                <w:sz w:val="18"/>
                <w:szCs w:val="20"/>
              </w:rPr>
            </w:pPr>
            <w:r>
              <w:rPr>
                <w:rFonts w:eastAsia="Calibri" w:cs="Tahoma" w:ascii="Tahoma" w:hAnsi="Tahoma"/>
                <w:b/>
                <w:kern w:val="2"/>
                <w:sz w:val="18"/>
                <w:szCs w:val="20"/>
                <w:lang w:val="en-US" w:eastAsia="en-US" w:bidi="ar-SA"/>
              </w:rPr>
              <w:t>2027 година</w:t>
            </w:r>
          </w:p>
        </w:tc>
      </w:tr>
      <w:tr>
        <w:trPr>
          <w:trHeight w:val="359" w:hRule="atLeast"/>
        </w:trPr>
        <w:tc>
          <w:tcPr>
            <w:tcW w:w="2567" w:type="dxa"/>
            <w:tcBorders/>
            <w:vAlign w:val="center"/>
          </w:tcPr>
          <w:p>
            <w:pPr>
              <w:pStyle w:val="Normal"/>
              <w:widowControl w:val="false"/>
              <w:suppressAutoHyphens w:val="true"/>
              <w:spacing w:lineRule="auto" w:line="240" w:before="0" w:after="0"/>
              <w:jc w:val="start"/>
              <w:rPr>
                <w:rFonts w:ascii="Tahoma" w:hAnsi="Tahoma" w:cs="Tahoma"/>
                <w:sz w:val="18"/>
                <w:szCs w:val="20"/>
              </w:rPr>
            </w:pPr>
            <w:r>
              <w:rPr>
                <w:rFonts w:eastAsia="Calibri" w:cs="Tahoma" w:ascii="Tahoma" w:hAnsi="Tahoma"/>
                <w:kern w:val="2"/>
                <w:sz w:val="18"/>
                <w:szCs w:val="20"/>
                <w:lang w:val="en-US" w:eastAsia="en-US" w:bidi="ar-SA"/>
              </w:rPr>
              <w:t>3.2.1.</w:t>
            </w:r>
            <w:r>
              <w:rPr>
                <w:rFonts w:eastAsia="Calibri" w:cs="Tahoma" w:ascii="Tahoma" w:hAnsi="Tahoma"/>
                <w:kern w:val="2"/>
                <w:sz w:val="18"/>
                <w:szCs w:val="20"/>
                <w:lang w:val="sr-BA" w:eastAsia="en-US" w:bidi="ar-SA"/>
              </w:rPr>
              <w:t xml:space="preserve"> </w:t>
            </w:r>
            <w:r>
              <w:rPr>
                <w:rFonts w:eastAsia="Calibri" w:cs="Tahoma" w:ascii="Tahoma" w:hAnsi="Tahoma"/>
                <w:kern w:val="2"/>
                <w:sz w:val="18"/>
                <w:szCs w:val="20"/>
                <w:lang w:val="en-US" w:eastAsia="en-US" w:bidi="ar-SA"/>
              </w:rPr>
              <w:t>Кампања за сензибилизацију грађана у односу на особе са инвалидитетом</w:t>
            </w:r>
          </w:p>
          <w:p>
            <w:pPr>
              <w:pStyle w:val="Normal"/>
              <w:widowControl w:val="false"/>
              <w:suppressAutoHyphens w:val="true"/>
              <w:spacing w:lineRule="auto" w:line="240" w:before="0" w:after="0"/>
              <w:ind w:start="360" w:hanging="0"/>
              <w:jc w:val="start"/>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0" w:after="0"/>
              <w:ind w:start="360" w:hanging="0"/>
              <w:jc w:val="start"/>
              <w:rPr>
                <w:rFonts w:ascii="Tahoma" w:hAnsi="Tahoma" w:cs="Tahoma"/>
                <w:spacing w:val="-8"/>
                <w:sz w:val="18"/>
                <w:szCs w:val="20"/>
              </w:rPr>
            </w:pPr>
            <w:r>
              <w:rPr>
                <w:rFonts w:cs="Tahoma" w:ascii="Tahoma" w:hAnsi="Tahoma"/>
                <w:spacing w:val="-8"/>
                <w:sz w:val="18"/>
                <w:szCs w:val="20"/>
              </w:rPr>
            </w:r>
          </w:p>
        </w:tc>
        <w:tc>
          <w:tcPr>
            <w:tcW w:w="1744"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Општинска управа</w:t>
            </w:r>
          </w:p>
        </w:tc>
        <w:tc>
          <w:tcPr>
            <w:tcW w:w="143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Савет за социјалну политику</w:t>
            </w:r>
          </w:p>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ЦСР, ЦК, локалне установе</w:t>
            </w:r>
          </w:p>
        </w:tc>
        <w:tc>
          <w:tcPr>
            <w:tcW w:w="1418"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4" w:type="dxa"/>
            <w:tcBorders/>
            <w:vAlign w:val="center"/>
          </w:tcPr>
          <w:p>
            <w:pPr>
              <w:pStyle w:val="Normal"/>
              <w:widowControl w:val="false"/>
              <w:suppressAutoHyphens w:val="true"/>
              <w:spacing w:lineRule="auto" w:line="240" w:before="60" w:after="60"/>
              <w:jc w:val="center"/>
              <w:rPr>
                <w:rFonts w:ascii="Tahoma" w:hAnsi="Tahoma" w:cs="Tahoma"/>
                <w:sz w:val="18"/>
                <w:szCs w:val="20"/>
              </w:rPr>
            </w:pPr>
            <w:r>
              <w:rPr>
                <w:rFonts w:eastAsia="Calibri" w:cs="Tahoma" w:ascii="Tahoma" w:hAnsi="Tahoma"/>
                <w:spacing w:val="-8"/>
                <w:kern w:val="2"/>
                <w:sz w:val="18"/>
                <w:szCs w:val="20"/>
                <w:lang w:val="en-US" w:eastAsia="en-US" w:bidi="ar-SA"/>
              </w:rPr>
              <w:t>01-средства из буџета ЈЛС</w:t>
            </w:r>
          </w:p>
          <w:p>
            <w:pPr>
              <w:pStyle w:val="Normal"/>
              <w:widowControl w:val="false"/>
              <w:suppressAutoHyphens w:val="true"/>
              <w:spacing w:lineRule="auto" w:line="240" w:before="60" w:after="60"/>
              <w:jc w:val="center"/>
              <w:rPr>
                <w:rFonts w:ascii="Tahoma" w:hAnsi="Tahoma" w:cs="Tahoma"/>
                <w:spacing w:val="-8"/>
                <w:sz w:val="18"/>
                <w:szCs w:val="20"/>
              </w:rPr>
            </w:pPr>
            <w:r>
              <w:rPr>
                <w:rFonts w:cs="Tahoma" w:ascii="Tahoma" w:hAnsi="Tahoma"/>
                <w:spacing w:val="-8"/>
                <w:sz w:val="18"/>
                <w:szCs w:val="20"/>
              </w:rPr>
            </w:r>
          </w:p>
        </w:tc>
        <w:tc>
          <w:tcPr>
            <w:tcW w:w="15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kern w:val="2"/>
                <w:sz w:val="18"/>
                <w:szCs w:val="20"/>
                <w:lang w:val="en-US" w:eastAsia="en-US" w:bidi="ar-SA"/>
              </w:rPr>
              <w:t>0602-0001</w:t>
            </w:r>
          </w:p>
        </w:tc>
        <w:tc>
          <w:tcPr>
            <w:tcW w:w="1349"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32"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30</w:t>
            </w:r>
          </w:p>
        </w:tc>
      </w:tr>
      <w:tr>
        <w:trPr>
          <w:trHeight w:val="359" w:hRule="atLeast"/>
        </w:trPr>
        <w:tc>
          <w:tcPr>
            <w:tcW w:w="2567" w:type="dxa"/>
            <w:tcBorders/>
            <w:vAlign w:val="center"/>
          </w:tcPr>
          <w:p>
            <w:pPr>
              <w:pStyle w:val="Normal"/>
              <w:widowControl w:val="false"/>
              <w:suppressAutoHyphens w:val="true"/>
              <w:spacing w:lineRule="auto" w:line="240" w:before="0" w:after="0"/>
              <w:jc w:val="start"/>
              <w:rPr>
                <w:rFonts w:ascii="Tahoma" w:hAnsi="Tahoma" w:cs="Tahoma"/>
                <w:sz w:val="18"/>
                <w:szCs w:val="20"/>
              </w:rPr>
            </w:pPr>
            <w:r>
              <w:rPr>
                <w:rFonts w:eastAsia="Calibri" w:cs="Tahoma" w:ascii="Tahoma" w:hAnsi="Tahoma"/>
                <w:kern w:val="2"/>
                <w:sz w:val="18"/>
                <w:szCs w:val="20"/>
                <w:lang w:val="en-US" w:eastAsia="en-US" w:bidi="ar-SA"/>
              </w:rPr>
              <w:t>3.2.2.</w:t>
            </w:r>
            <w:r>
              <w:rPr>
                <w:rFonts w:eastAsia="Calibri" w:cs="Tahoma" w:ascii="Tahoma" w:hAnsi="Tahoma"/>
                <w:kern w:val="2"/>
                <w:sz w:val="18"/>
                <w:szCs w:val="20"/>
                <w:lang w:val="sr-BA" w:eastAsia="en-US" w:bidi="ar-SA"/>
              </w:rPr>
              <w:t xml:space="preserve"> </w:t>
            </w:r>
            <w:r>
              <w:rPr>
                <w:rFonts w:eastAsia="Calibri" w:cs="Tahoma" w:ascii="Tahoma" w:hAnsi="Tahoma"/>
                <w:kern w:val="2"/>
                <w:sz w:val="18"/>
                <w:szCs w:val="20"/>
                <w:lang w:val="en-US" w:eastAsia="en-US" w:bidi="ar-SA"/>
              </w:rPr>
              <w:t>Кампања за сензибилизацију грађана у односу на старије суграђане</w:t>
            </w:r>
          </w:p>
          <w:p>
            <w:pPr>
              <w:pStyle w:val="Normal"/>
              <w:widowControl w:val="false"/>
              <w:suppressAutoHyphens w:val="true"/>
              <w:spacing w:lineRule="auto" w:line="240" w:before="0" w:after="0"/>
              <w:jc w:val="start"/>
              <w:rPr>
                <w:rFonts w:ascii="Tahoma" w:hAnsi="Tahoma" w:cs="Tahoma"/>
                <w:sz w:val="18"/>
                <w:szCs w:val="20"/>
              </w:rPr>
            </w:pPr>
            <w:r>
              <w:rPr>
                <w:rFonts w:cs="Tahoma" w:ascii="Tahoma" w:hAnsi="Tahoma"/>
                <w:sz w:val="18"/>
                <w:szCs w:val="20"/>
              </w:rPr>
            </w:r>
          </w:p>
        </w:tc>
        <w:tc>
          <w:tcPr>
            <w:tcW w:w="1744"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Општинска управа</w:t>
            </w:r>
          </w:p>
        </w:tc>
        <w:tc>
          <w:tcPr>
            <w:tcW w:w="143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Савет за социјалну политику</w:t>
            </w:r>
          </w:p>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ЦСР, ЦК, локалне установе и ОЦД</w:t>
            </w:r>
          </w:p>
        </w:tc>
        <w:tc>
          <w:tcPr>
            <w:tcW w:w="1418"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4" w:type="dxa"/>
            <w:tcBorders/>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1527" w:type="dxa"/>
            <w:tcBorders/>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kern w:val="2"/>
                <w:sz w:val="18"/>
                <w:szCs w:val="20"/>
                <w:lang w:val="en-US" w:eastAsia="en-US" w:bidi="ar-SA"/>
              </w:rPr>
              <w:t>0602-0001</w:t>
            </w:r>
          </w:p>
        </w:tc>
        <w:tc>
          <w:tcPr>
            <w:tcW w:w="1349"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32"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15" w:type="dxa"/>
            <w:tcBorders/>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30</w:t>
            </w:r>
          </w:p>
        </w:tc>
      </w:tr>
      <w:tr>
        <w:trPr>
          <w:trHeight w:val="359" w:hRule="atLeast"/>
        </w:trPr>
        <w:tc>
          <w:tcPr>
            <w:tcW w:w="2567" w:type="dxa"/>
            <w:tcBorders/>
            <w:vAlign w:val="center"/>
          </w:tcPr>
          <w:p>
            <w:pPr>
              <w:pStyle w:val="Normal"/>
              <w:widowControl w:val="false"/>
              <w:suppressAutoHyphens w:val="true"/>
              <w:spacing w:lineRule="auto" w:line="240" w:before="0" w:after="0"/>
              <w:jc w:val="start"/>
              <w:rPr>
                <w:rFonts w:ascii="Tahoma" w:hAnsi="Tahoma" w:cs="Tahoma"/>
                <w:sz w:val="18"/>
                <w:szCs w:val="20"/>
              </w:rPr>
            </w:pPr>
            <w:r>
              <w:rPr>
                <w:rFonts w:eastAsia="Calibri" w:cs="Tahoma" w:ascii="Tahoma" w:hAnsi="Tahoma"/>
                <w:kern w:val="2"/>
                <w:sz w:val="18"/>
                <w:szCs w:val="20"/>
                <w:lang w:val="en-US" w:eastAsia="en-US" w:bidi="ar-SA"/>
              </w:rPr>
              <w:t>3.2.3.</w:t>
            </w:r>
            <w:r>
              <w:rPr>
                <w:rFonts w:eastAsia="Calibri" w:cs="Tahoma" w:ascii="Tahoma" w:hAnsi="Tahoma"/>
                <w:kern w:val="2"/>
                <w:sz w:val="18"/>
                <w:szCs w:val="20"/>
                <w:lang w:val="sr-BA" w:eastAsia="en-US" w:bidi="ar-SA"/>
              </w:rPr>
              <w:t xml:space="preserve"> </w:t>
            </w:r>
            <w:r>
              <w:rPr>
                <w:rFonts w:eastAsia="Calibri" w:cs="Tahoma" w:ascii="Tahoma" w:hAnsi="Tahoma"/>
                <w:kern w:val="2"/>
                <w:sz w:val="18"/>
                <w:szCs w:val="20"/>
                <w:lang w:val="en-US" w:eastAsia="en-US" w:bidi="ar-SA"/>
              </w:rPr>
              <w:t>Кампања за сензибилизацију грађана у односу на Роме</w:t>
            </w:r>
          </w:p>
          <w:p>
            <w:pPr>
              <w:pStyle w:val="Normal"/>
              <w:widowControl w:val="false"/>
              <w:suppressAutoHyphens w:val="true"/>
              <w:spacing w:lineRule="auto" w:line="240" w:before="0" w:after="0"/>
              <w:jc w:val="start"/>
              <w:rPr>
                <w:rFonts w:ascii="Tahoma" w:hAnsi="Tahoma" w:cs="Tahoma"/>
                <w:sz w:val="18"/>
                <w:szCs w:val="20"/>
              </w:rPr>
            </w:pPr>
            <w:r>
              <w:rPr>
                <w:rFonts w:cs="Tahoma" w:ascii="Tahoma" w:hAnsi="Tahoma"/>
                <w:sz w:val="18"/>
                <w:szCs w:val="20"/>
              </w:rPr>
            </w:r>
          </w:p>
          <w:p>
            <w:pPr>
              <w:pStyle w:val="Normal"/>
              <w:widowControl w:val="false"/>
              <w:suppressAutoHyphens w:val="true"/>
              <w:spacing w:lineRule="auto" w:line="240" w:before="0" w:after="0"/>
              <w:ind w:start="360" w:hanging="0"/>
              <w:jc w:val="start"/>
              <w:rPr>
                <w:rFonts w:ascii="Tahoma" w:hAnsi="Tahoma" w:cs="Tahoma"/>
                <w:sz w:val="18"/>
                <w:szCs w:val="20"/>
              </w:rPr>
            </w:pPr>
            <w:r>
              <w:rPr>
                <w:rFonts w:cs="Tahoma" w:ascii="Tahoma" w:hAnsi="Tahoma"/>
                <w:sz w:val="18"/>
                <w:szCs w:val="20"/>
              </w:rPr>
            </w:r>
          </w:p>
        </w:tc>
        <w:tc>
          <w:tcPr>
            <w:tcW w:w="1744"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Општинска управа</w:t>
            </w:r>
          </w:p>
        </w:tc>
        <w:tc>
          <w:tcPr>
            <w:tcW w:w="143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Савет за социјалну политику</w:t>
            </w:r>
          </w:p>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ЦСР, ЦК, локалне установе и ОЦД</w:t>
            </w:r>
          </w:p>
        </w:tc>
        <w:tc>
          <w:tcPr>
            <w:tcW w:w="1418"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4"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15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kern w:val="2"/>
                <w:sz w:val="18"/>
                <w:szCs w:val="20"/>
                <w:lang w:val="en-US" w:eastAsia="en-US" w:bidi="ar-SA"/>
              </w:rPr>
              <w:t>0602-0001</w:t>
            </w:r>
          </w:p>
        </w:tc>
        <w:tc>
          <w:tcPr>
            <w:tcW w:w="1349"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32"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30</w:t>
            </w:r>
          </w:p>
        </w:tc>
      </w:tr>
      <w:tr>
        <w:trPr>
          <w:trHeight w:val="370" w:hRule="atLeast"/>
        </w:trPr>
        <w:tc>
          <w:tcPr>
            <w:tcW w:w="2567" w:type="dxa"/>
            <w:tcBorders/>
            <w:vAlign w:val="center"/>
          </w:tcPr>
          <w:p>
            <w:pPr>
              <w:pStyle w:val="Normal"/>
              <w:widowControl w:val="false"/>
              <w:suppressAutoHyphens w:val="true"/>
              <w:spacing w:lineRule="auto" w:line="240" w:before="60" w:after="60"/>
              <w:jc w:val="start"/>
              <w:rPr>
                <w:rFonts w:ascii="Tahoma" w:hAnsi="Tahoma" w:cs="Tahoma"/>
                <w:spacing w:val="-8"/>
                <w:sz w:val="18"/>
                <w:szCs w:val="20"/>
              </w:rPr>
            </w:pPr>
            <w:r>
              <w:rPr>
                <w:rFonts w:eastAsia="Calibri" w:cs="Tahoma" w:ascii="Tahoma" w:hAnsi="Tahoma"/>
                <w:kern w:val="2"/>
                <w:sz w:val="18"/>
                <w:szCs w:val="20"/>
                <w:lang w:val="en-US" w:eastAsia="en-US" w:bidi="ar-SA"/>
              </w:rPr>
              <w:t>3.2.</w:t>
            </w:r>
            <w:r>
              <w:rPr>
                <w:rFonts w:eastAsia="Calibri" w:cs="Tahoma" w:ascii="Tahoma" w:hAnsi="Tahoma"/>
                <w:kern w:val="2"/>
                <w:sz w:val="18"/>
                <w:szCs w:val="20"/>
                <w:lang w:val="sr-BA" w:eastAsia="en-US" w:bidi="ar-SA"/>
              </w:rPr>
              <w:t>4</w:t>
            </w:r>
            <w:r>
              <w:rPr>
                <w:rFonts w:eastAsia="Calibri" w:cs="Tahoma" w:ascii="Tahoma" w:hAnsi="Tahoma"/>
                <w:kern w:val="2"/>
                <w:sz w:val="18"/>
                <w:szCs w:val="20"/>
                <w:lang w:val="en-US" w:eastAsia="en-US" w:bidi="ar-SA"/>
              </w:rPr>
              <w:t>.</w:t>
            </w:r>
            <w:r>
              <w:rPr>
                <w:rFonts w:eastAsia="Calibri" w:cs="Tahoma" w:ascii="Tahoma" w:hAnsi="Tahoma"/>
                <w:kern w:val="2"/>
                <w:sz w:val="18"/>
                <w:szCs w:val="20"/>
                <w:lang w:val="sr-BA" w:eastAsia="en-US" w:bidi="ar-SA"/>
              </w:rPr>
              <w:t xml:space="preserve"> </w:t>
            </w:r>
            <w:r>
              <w:rPr>
                <w:rFonts w:eastAsia="Calibri" w:cs="Tahoma" w:ascii="Tahoma" w:hAnsi="Tahoma"/>
                <w:kern w:val="2"/>
                <w:sz w:val="18"/>
                <w:szCs w:val="20"/>
                <w:lang w:val="en-US" w:eastAsia="en-US" w:bidi="ar-SA"/>
              </w:rPr>
              <w:t>Кампања за спречавање и борбу против родно заснованог насиља и насиља у породици и партнерским односима (16 дана активизма)</w:t>
            </w:r>
          </w:p>
        </w:tc>
        <w:tc>
          <w:tcPr>
            <w:tcW w:w="1744"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Општинска управа</w:t>
            </w:r>
          </w:p>
        </w:tc>
        <w:tc>
          <w:tcPr>
            <w:tcW w:w="143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Савет за социјалну политику</w:t>
            </w:r>
          </w:p>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Савет за родну равноправност</w:t>
            </w:r>
          </w:p>
          <w:p>
            <w:pPr>
              <w:pStyle w:val="Normal"/>
              <w:widowControl w:val="false"/>
              <w:suppressAutoHyphens w:val="true"/>
              <w:spacing w:lineRule="auto" w:line="240" w:before="60" w:after="60"/>
              <w:jc w:val="center"/>
              <w:rPr>
                <w:rFonts w:ascii="Calibri" w:hAnsi="Calibri" w:eastAsia="Calibri" w:cs="Arial"/>
                <w:kern w:val="2"/>
                <w:sz w:val="22"/>
                <w:szCs w:val="22"/>
                <w:lang w:val="en-US" w:eastAsia="en-US" w:bidi="ar-SA"/>
              </w:rPr>
            </w:pPr>
            <w:r>
              <w:rPr>
                <w:rFonts w:eastAsia="Calibri" w:cs="Tahoma" w:ascii="Tahoma" w:hAnsi="Tahoma"/>
                <w:spacing w:val="-8"/>
                <w:kern w:val="2"/>
                <w:sz w:val="18"/>
                <w:szCs w:val="20"/>
                <w:lang w:val="en-US" w:eastAsia="en-US" w:bidi="ar-SA"/>
              </w:rPr>
              <w:t>ЦСР, ЦК, локалне  установе и ОЦД</w:t>
            </w:r>
          </w:p>
        </w:tc>
        <w:tc>
          <w:tcPr>
            <w:tcW w:w="1418"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4"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15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kern w:val="2"/>
                <w:sz w:val="18"/>
                <w:szCs w:val="20"/>
                <w:lang w:val="en-US" w:eastAsia="en-US" w:bidi="ar-SA"/>
              </w:rPr>
              <w:t>0602-0001</w:t>
            </w:r>
          </w:p>
        </w:tc>
        <w:tc>
          <w:tcPr>
            <w:tcW w:w="1349"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32"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30</w:t>
            </w:r>
          </w:p>
        </w:tc>
      </w:tr>
      <w:tr>
        <w:trPr>
          <w:trHeight w:val="370" w:hRule="atLeast"/>
        </w:trPr>
        <w:tc>
          <w:tcPr>
            <w:tcW w:w="2567" w:type="dxa"/>
            <w:tcBorders/>
            <w:vAlign w:val="center"/>
          </w:tcPr>
          <w:p>
            <w:pPr>
              <w:pStyle w:val="Normal"/>
              <w:widowControl w:val="false"/>
              <w:suppressAutoHyphens w:val="true"/>
              <w:spacing w:lineRule="auto" w:line="240" w:before="0" w:after="0"/>
              <w:jc w:val="start"/>
              <w:rPr>
                <w:rFonts w:ascii="Tahoma" w:hAnsi="Tahoma" w:cs="Tahoma"/>
                <w:sz w:val="18"/>
                <w:szCs w:val="20"/>
              </w:rPr>
            </w:pPr>
            <w:r>
              <w:rPr>
                <w:rFonts w:eastAsia="Calibri" w:cs="Tahoma" w:ascii="Tahoma" w:hAnsi="Tahoma"/>
                <w:kern w:val="2"/>
                <w:sz w:val="18"/>
                <w:szCs w:val="20"/>
                <w:lang w:val="en-US" w:eastAsia="en-US" w:bidi="ar-SA"/>
              </w:rPr>
              <w:t>3.2.5.</w:t>
            </w:r>
            <w:r>
              <w:rPr>
                <w:rFonts w:eastAsia="Calibri" w:cs="Tahoma" w:ascii="Tahoma" w:hAnsi="Tahoma"/>
                <w:kern w:val="2"/>
                <w:sz w:val="18"/>
                <w:szCs w:val="20"/>
                <w:lang w:val="sr-BA" w:eastAsia="en-US" w:bidi="ar-SA"/>
              </w:rPr>
              <w:t xml:space="preserve"> </w:t>
            </w:r>
            <w:r>
              <w:rPr>
                <w:rFonts w:eastAsia="Calibri" w:cs="Tahoma" w:ascii="Tahoma" w:hAnsi="Tahoma"/>
                <w:kern w:val="2"/>
                <w:sz w:val="18"/>
                <w:szCs w:val="20"/>
                <w:lang w:val="en-US" w:eastAsia="en-US" w:bidi="ar-SA"/>
              </w:rPr>
              <w:t>Кампања за спречавање и борбу против насиља над децом, злостављања и занемаривања деце, укључујући вршњачко насиље (обележавање Међународног дана детета, дечија недеља)</w:t>
            </w:r>
          </w:p>
          <w:p>
            <w:pPr>
              <w:pStyle w:val="Normal"/>
              <w:widowControl w:val="false"/>
              <w:suppressAutoHyphens w:val="true"/>
              <w:spacing w:lineRule="auto" w:line="240" w:before="60" w:after="60"/>
              <w:jc w:val="start"/>
              <w:rPr>
                <w:rFonts w:ascii="Tahoma" w:hAnsi="Tahoma" w:cs="Tahoma"/>
                <w:spacing w:val="-8"/>
                <w:sz w:val="18"/>
                <w:szCs w:val="20"/>
              </w:rPr>
            </w:pPr>
            <w:r>
              <w:rPr>
                <w:rFonts w:cs="Tahoma" w:ascii="Tahoma" w:hAnsi="Tahoma"/>
                <w:spacing w:val="-8"/>
                <w:sz w:val="18"/>
                <w:szCs w:val="20"/>
              </w:rPr>
            </w:r>
          </w:p>
        </w:tc>
        <w:tc>
          <w:tcPr>
            <w:tcW w:w="1744"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Општинска управа</w:t>
            </w:r>
          </w:p>
        </w:tc>
        <w:tc>
          <w:tcPr>
            <w:tcW w:w="1433"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Савет за социјалну политику</w:t>
            </w:r>
          </w:p>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ЦСР, ЦК, локалне установе и ОЦД</w:t>
            </w:r>
          </w:p>
        </w:tc>
        <w:tc>
          <w:tcPr>
            <w:tcW w:w="1418"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4. квартал 2027</w:t>
            </w:r>
          </w:p>
        </w:tc>
        <w:tc>
          <w:tcPr>
            <w:tcW w:w="1624"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01-средства из буџета ЈЛС</w:t>
            </w:r>
          </w:p>
        </w:tc>
        <w:tc>
          <w:tcPr>
            <w:tcW w:w="1527"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kern w:val="2"/>
                <w:sz w:val="18"/>
                <w:szCs w:val="20"/>
                <w:lang w:val="en-US" w:eastAsia="en-US" w:bidi="ar-SA"/>
              </w:rPr>
              <w:t>0602-0001</w:t>
            </w:r>
          </w:p>
        </w:tc>
        <w:tc>
          <w:tcPr>
            <w:tcW w:w="1349"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32"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0</w:t>
            </w:r>
          </w:p>
        </w:tc>
        <w:tc>
          <w:tcPr>
            <w:tcW w:w="1315" w:type="dxa"/>
            <w:tcBorders/>
            <w:vAlign w:val="center"/>
          </w:tcPr>
          <w:p>
            <w:pPr>
              <w:pStyle w:val="Normal"/>
              <w:widowControl w:val="false"/>
              <w:suppressAutoHyphens w:val="true"/>
              <w:spacing w:lineRule="auto" w:line="240" w:before="60" w:after="60"/>
              <w:jc w:val="center"/>
              <w:rPr>
                <w:rFonts w:ascii="Tahoma" w:hAnsi="Tahoma" w:cs="Tahoma"/>
                <w:spacing w:val="-8"/>
                <w:sz w:val="18"/>
                <w:szCs w:val="20"/>
              </w:rPr>
            </w:pPr>
            <w:r>
              <w:rPr>
                <w:rFonts w:eastAsia="Calibri" w:cs="Tahoma" w:ascii="Tahoma" w:hAnsi="Tahoma"/>
                <w:spacing w:val="-8"/>
                <w:kern w:val="2"/>
                <w:sz w:val="18"/>
                <w:szCs w:val="20"/>
                <w:lang w:val="en-US" w:eastAsia="en-US" w:bidi="ar-SA"/>
              </w:rPr>
              <w:t>30</w:t>
            </w:r>
          </w:p>
        </w:tc>
      </w:tr>
    </w:tbl>
    <w:p>
      <w:pPr>
        <w:sectPr>
          <w:headerReference w:type="default" r:id="rId18"/>
          <w:footerReference w:type="default" r:id="rId19"/>
          <w:footnotePr>
            <w:numFmt w:val="decimal"/>
          </w:footnotePr>
          <w:type w:val="nextPage"/>
          <w:pgSz w:orient="landscape" w:w="15840" w:h="12240"/>
          <w:pgMar w:left="1440" w:right="1440" w:header="720" w:top="1440" w:footer="720" w:bottom="1440" w:gutter="0"/>
          <w:pgNumType w:fmt="decimal"/>
          <w:formProt w:val="false"/>
          <w:textDirection w:val="lrTb"/>
          <w:docGrid w:type="default" w:linePitch="360" w:charSpace="4096"/>
        </w:sectPr>
      </w:pPr>
    </w:p>
    <w:p>
      <w:pPr>
        <w:pStyle w:val="Normal"/>
        <w:tabs>
          <w:tab w:val="clear" w:pos="720"/>
          <w:tab w:val="left" w:pos="1767" w:leader="none"/>
        </w:tabs>
        <w:rPr>
          <w:rFonts w:ascii="Tahoma" w:hAnsi="Tahoma" w:cs="Tahoma"/>
          <w:sz w:val="20"/>
          <w:lang w:val="sr-RS"/>
        </w:rPr>
      </w:pPr>
      <w:r>
        <w:rPr>
          <w:rFonts w:cs="Tahoma" w:ascii="Tahoma" w:hAnsi="Tahoma"/>
          <w:sz w:val="20"/>
          <w:lang w:val="sr-RS"/>
        </w:rPr>
      </w:r>
    </w:p>
    <w:p>
      <w:pPr>
        <w:pStyle w:val="Heading1"/>
        <w:numPr>
          <w:ilvl w:val="0"/>
          <w:numId w:val="1"/>
        </w:numPr>
        <w:spacing w:lineRule="auto" w:line="240"/>
        <w:ind w:start="284" w:hanging="360"/>
        <w:rPr>
          <w:rFonts w:ascii="Tahoma" w:hAnsi="Tahoma" w:cs="Tahoma"/>
          <w:b/>
          <w:b/>
          <w:szCs w:val="28"/>
          <w:lang w:val="sr-RS"/>
        </w:rPr>
      </w:pPr>
      <w:bookmarkStart w:id="35" w:name="_Toc188459117"/>
      <w:bookmarkStart w:id="36" w:name="_Toc188876961"/>
      <w:r>
        <w:rPr>
          <w:rFonts w:cs="Tahoma" w:ascii="Tahoma" w:hAnsi="Tahoma"/>
          <w:b/>
          <w:szCs w:val="28"/>
          <w:lang w:val="sr-RS"/>
        </w:rPr>
        <w:t>Прилози</w:t>
      </w:r>
      <w:bookmarkEnd w:id="35"/>
      <w:bookmarkEnd w:id="36"/>
    </w:p>
    <w:p>
      <w:pPr>
        <w:pStyle w:val="Heading2"/>
        <w:jc w:val="both"/>
        <w:rPr>
          <w:rFonts w:ascii="Tahoma" w:hAnsi="Tahoma" w:cs="Tahoma"/>
          <w:sz w:val="28"/>
          <w:szCs w:val="28"/>
          <w:lang w:val="sr-RS"/>
        </w:rPr>
      </w:pPr>
      <w:bookmarkStart w:id="37" w:name="_Toc188876962"/>
      <w:bookmarkStart w:id="38" w:name="_Toc188459118"/>
      <w:r>
        <w:rPr>
          <w:rFonts w:cs="Tahoma" w:ascii="Tahoma" w:hAnsi="Tahoma"/>
          <w:sz w:val="28"/>
          <w:szCs w:val="28"/>
          <w:lang w:val="sr-RS"/>
        </w:rPr>
        <w:t xml:space="preserve">Прилог 1 – Табеларни прегледи корисника права на социјалну заштиту у општини </w:t>
      </w:r>
      <w:bookmarkEnd w:id="38"/>
      <w:r>
        <w:rPr>
          <w:rFonts w:cs="Tahoma" w:ascii="Tahoma" w:hAnsi="Tahoma"/>
          <w:sz w:val="28"/>
          <w:szCs w:val="28"/>
          <w:lang w:val="sr-RS"/>
        </w:rPr>
        <w:t>Беочин</w:t>
      </w:r>
      <w:bookmarkEnd w:id="37"/>
    </w:p>
    <w:p>
      <w:pPr>
        <w:pStyle w:val="Normal"/>
        <w:rPr>
          <w:lang w:val="sr-RS"/>
        </w:rPr>
      </w:pPr>
      <w:r>
        <w:rPr>
          <w:lang w:val="sr-RS"/>
        </w:rPr>
      </w:r>
    </w:p>
    <w:p>
      <w:pPr>
        <w:pStyle w:val="Normal"/>
        <w:spacing w:before="0" w:after="0"/>
        <w:rPr>
          <w:rFonts w:ascii="Tahoma" w:hAnsi="Tahoma" w:cs="Tahoma"/>
          <w:lang w:val="sr-RS"/>
        </w:rPr>
      </w:pPr>
      <w:r>
        <w:rPr>
          <w:rFonts w:eastAsia="Times New Roman" w:cs="Tahoma" w:ascii="Tahoma" w:hAnsi="Tahoma"/>
          <w:sz w:val="18"/>
          <w:szCs w:val="18"/>
          <w:lang w:val="sr-RS"/>
        </w:rPr>
        <w:t>Табела 7.1. Тренд укупног  броја корисника у регистру ЦСР на активној евиденцији према старости и полу</w:t>
      </w:r>
    </w:p>
    <w:tbl>
      <w:tblPr>
        <w:tblStyle w:val="TableGrid"/>
        <w:tblW w:w="10420" w:type="dxa"/>
        <w:jc w:val="center"/>
        <w:tblInd w:w="0" w:type="dxa"/>
        <w:tblLayout w:type="fixed"/>
        <w:tblCellMar>
          <w:top w:w="0" w:type="dxa"/>
          <w:start w:w="108" w:type="dxa"/>
          <w:bottom w:w="0" w:type="dxa"/>
          <w:end w:w="108" w:type="dxa"/>
        </w:tblCellMar>
        <w:tblLook w:firstRow="1" w:noVBand="1" w:lastRow="0" w:firstColumn="1" w:lastColumn="0" w:noHBand="0" w:val="04a0"/>
      </w:tblPr>
      <w:tblGrid>
        <w:gridCol w:w="2126"/>
        <w:gridCol w:w="895"/>
        <w:gridCol w:w="900"/>
        <w:gridCol w:w="969"/>
        <w:gridCol w:w="898"/>
        <w:gridCol w:w="898"/>
        <w:gridCol w:w="968"/>
        <w:gridCol w:w="898"/>
        <w:gridCol w:w="898"/>
        <w:gridCol w:w="969"/>
      </w:tblGrid>
      <w:tr>
        <w:trPr/>
        <w:tc>
          <w:tcPr>
            <w:tcW w:w="2126" w:type="dxa"/>
            <w:tcBorders/>
            <w:shd w:color="auto" w:fill="D9E2F3" w:themeFill="accent1" w:themeFillTint="33" w:val="clear"/>
          </w:tcPr>
          <w:p>
            <w:pPr>
              <w:pStyle w:val="Normal"/>
              <w:widowControl w:val="false"/>
              <w:suppressAutoHyphens w:val="true"/>
              <w:spacing w:lineRule="auto" w:line="276" w:before="0" w:after="0"/>
              <w:jc w:val="start"/>
              <w:rPr>
                <w:rFonts w:ascii="Tahoma" w:hAnsi="Tahoma" w:cs="Tahoma"/>
                <w:sz w:val="18"/>
                <w:szCs w:val="20"/>
                <w:lang w:val="sr-RS"/>
              </w:rPr>
            </w:pPr>
            <w:r>
              <w:rPr>
                <w:rFonts w:cs="Tahoma" w:ascii="Tahoma" w:hAnsi="Tahoma"/>
                <w:sz w:val="18"/>
                <w:szCs w:val="20"/>
                <w:lang w:val="sr-RS"/>
              </w:rPr>
            </w:r>
          </w:p>
        </w:tc>
        <w:tc>
          <w:tcPr>
            <w:tcW w:w="2764" w:type="dxa"/>
            <w:gridSpan w:val="3"/>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2021</w:t>
            </w:r>
          </w:p>
        </w:tc>
        <w:tc>
          <w:tcPr>
            <w:tcW w:w="2764" w:type="dxa"/>
            <w:gridSpan w:val="3"/>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2022</w:t>
            </w:r>
          </w:p>
        </w:tc>
        <w:tc>
          <w:tcPr>
            <w:tcW w:w="2765" w:type="dxa"/>
            <w:gridSpan w:val="3"/>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2023</w:t>
            </w:r>
          </w:p>
        </w:tc>
      </w:tr>
      <w:tr>
        <w:trPr/>
        <w:tc>
          <w:tcPr>
            <w:tcW w:w="2126" w:type="dxa"/>
            <w:tcBorders/>
            <w:shd w:color="auto" w:fill="D9E2F3" w:themeFill="accent1" w:themeFillTint="33" w:val="clear"/>
          </w:tcPr>
          <w:p>
            <w:pPr>
              <w:pStyle w:val="Normal"/>
              <w:widowControl w:val="false"/>
              <w:suppressAutoHyphens w:val="true"/>
              <w:spacing w:lineRule="auto" w:line="276" w:before="0" w:after="0"/>
              <w:jc w:val="start"/>
              <w:rPr>
                <w:rFonts w:ascii="Tahoma" w:hAnsi="Tahoma" w:cs="Tahoma"/>
                <w:sz w:val="18"/>
                <w:szCs w:val="20"/>
                <w:lang w:val="sr-RS"/>
              </w:rPr>
            </w:pPr>
            <w:r>
              <w:rPr>
                <w:rFonts w:eastAsia="Times New Roman" w:cs="Tahoma" w:ascii="Tahoma" w:hAnsi="Tahoma"/>
                <w:kern w:val="2"/>
                <w:sz w:val="18"/>
                <w:szCs w:val="20"/>
                <w:lang w:val="sr-RS" w:eastAsia="en-US" w:bidi="ar-SA"/>
              </w:rPr>
              <w:t>Корисници</w:t>
            </w:r>
          </w:p>
        </w:tc>
        <w:tc>
          <w:tcPr>
            <w:tcW w:w="895" w:type="dxa"/>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М</w:t>
            </w:r>
          </w:p>
        </w:tc>
        <w:tc>
          <w:tcPr>
            <w:tcW w:w="900" w:type="dxa"/>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Ж</w:t>
            </w:r>
          </w:p>
        </w:tc>
        <w:tc>
          <w:tcPr>
            <w:tcW w:w="969" w:type="dxa"/>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Укупно</w:t>
            </w:r>
          </w:p>
        </w:tc>
        <w:tc>
          <w:tcPr>
            <w:tcW w:w="898" w:type="dxa"/>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М</w:t>
            </w:r>
          </w:p>
        </w:tc>
        <w:tc>
          <w:tcPr>
            <w:tcW w:w="898" w:type="dxa"/>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Ж</w:t>
            </w:r>
          </w:p>
        </w:tc>
        <w:tc>
          <w:tcPr>
            <w:tcW w:w="968" w:type="dxa"/>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Укупно</w:t>
            </w:r>
          </w:p>
        </w:tc>
        <w:tc>
          <w:tcPr>
            <w:tcW w:w="898" w:type="dxa"/>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М</w:t>
            </w:r>
          </w:p>
        </w:tc>
        <w:tc>
          <w:tcPr>
            <w:tcW w:w="898" w:type="dxa"/>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Ж</w:t>
            </w:r>
          </w:p>
        </w:tc>
        <w:tc>
          <w:tcPr>
            <w:tcW w:w="969" w:type="dxa"/>
            <w:tcBorders/>
            <w:shd w:color="auto" w:fill="D9E2F3" w:themeFill="accent1" w:themeFillTint="33" w:val="clear"/>
          </w:tcPr>
          <w:p>
            <w:pPr>
              <w:pStyle w:val="Normal"/>
              <w:widowControl w:val="false"/>
              <w:suppressAutoHyphens w:val="true"/>
              <w:spacing w:lineRule="auto" w:line="276" w:before="0" w:after="0"/>
              <w:jc w:val="center"/>
              <w:rPr>
                <w:rFonts w:ascii="Tahoma" w:hAnsi="Tahoma" w:cs="Tahoma"/>
                <w:b/>
                <w:b/>
                <w:sz w:val="18"/>
                <w:szCs w:val="20"/>
                <w:lang w:val="sr-RS"/>
              </w:rPr>
            </w:pPr>
            <w:r>
              <w:rPr>
                <w:rFonts w:eastAsia="Times New Roman" w:cs="Tahoma" w:ascii="Tahoma" w:hAnsi="Tahoma"/>
                <w:b/>
                <w:kern w:val="2"/>
                <w:sz w:val="18"/>
                <w:szCs w:val="20"/>
                <w:lang w:val="sr-RS" w:eastAsia="en-US" w:bidi="ar-SA"/>
              </w:rPr>
              <w:t>Укупно</w:t>
            </w:r>
          </w:p>
        </w:tc>
      </w:tr>
      <w:tr>
        <w:trPr/>
        <w:tc>
          <w:tcPr>
            <w:tcW w:w="2126" w:type="dxa"/>
            <w:tcBorders/>
          </w:tcPr>
          <w:p>
            <w:pPr>
              <w:pStyle w:val="Normal"/>
              <w:widowControl w:val="false"/>
              <w:suppressAutoHyphens w:val="true"/>
              <w:spacing w:lineRule="auto" w:line="276" w:before="0" w:after="0"/>
              <w:jc w:val="start"/>
              <w:rPr>
                <w:rFonts w:ascii="Tahoma" w:hAnsi="Tahoma" w:cs="Tahoma"/>
                <w:sz w:val="18"/>
                <w:szCs w:val="20"/>
                <w:lang w:val="sr-RS"/>
              </w:rPr>
            </w:pPr>
            <w:r>
              <w:rPr>
                <w:rFonts w:eastAsia="Times New Roman" w:cs="Tahoma" w:ascii="Tahoma" w:hAnsi="Tahoma"/>
                <w:kern w:val="2"/>
                <w:sz w:val="18"/>
                <w:szCs w:val="20"/>
                <w:lang w:val="sr-RS" w:eastAsia="en-US" w:bidi="ar-SA"/>
              </w:rPr>
              <w:t>Деца (0-17.год)</w:t>
            </w:r>
          </w:p>
        </w:tc>
        <w:tc>
          <w:tcPr>
            <w:tcW w:w="895" w:type="dxa"/>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280</w:t>
            </w:r>
          </w:p>
        </w:tc>
        <w:tc>
          <w:tcPr>
            <w:tcW w:w="900" w:type="dxa"/>
            <w:tcBorders>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250</w:t>
            </w:r>
          </w:p>
        </w:tc>
        <w:tc>
          <w:tcPr>
            <w:tcW w:w="969" w:type="dxa"/>
            <w:tcBorders>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530</w:t>
            </w:r>
          </w:p>
        </w:tc>
        <w:tc>
          <w:tcPr>
            <w:tcW w:w="898" w:type="dxa"/>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282</w:t>
            </w:r>
          </w:p>
        </w:tc>
        <w:tc>
          <w:tcPr>
            <w:tcW w:w="898" w:type="dxa"/>
            <w:tcBorders>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235</w:t>
            </w:r>
          </w:p>
        </w:tc>
        <w:tc>
          <w:tcPr>
            <w:tcW w:w="968" w:type="dxa"/>
            <w:tcBorders>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517</w:t>
            </w:r>
          </w:p>
        </w:tc>
        <w:tc>
          <w:tcPr>
            <w:tcW w:w="898" w:type="dxa"/>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243</w:t>
            </w:r>
          </w:p>
        </w:tc>
        <w:tc>
          <w:tcPr>
            <w:tcW w:w="898" w:type="dxa"/>
            <w:tcBorders>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174</w:t>
            </w:r>
          </w:p>
        </w:tc>
        <w:tc>
          <w:tcPr>
            <w:tcW w:w="969" w:type="dxa"/>
            <w:tcBorders>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417</w:t>
            </w:r>
          </w:p>
        </w:tc>
      </w:tr>
      <w:tr>
        <w:trPr/>
        <w:tc>
          <w:tcPr>
            <w:tcW w:w="2126" w:type="dxa"/>
            <w:tcBorders/>
          </w:tcPr>
          <w:p>
            <w:pPr>
              <w:pStyle w:val="Normal"/>
              <w:widowControl w:val="false"/>
              <w:suppressAutoHyphens w:val="true"/>
              <w:spacing w:lineRule="auto" w:line="276" w:before="0" w:after="0"/>
              <w:jc w:val="start"/>
              <w:rPr>
                <w:rFonts w:ascii="Tahoma" w:hAnsi="Tahoma" w:cs="Tahoma"/>
                <w:sz w:val="18"/>
                <w:szCs w:val="20"/>
                <w:lang w:val="sr-RS"/>
              </w:rPr>
            </w:pPr>
            <w:r>
              <w:rPr>
                <w:rFonts w:eastAsia="Times New Roman" w:cs="Tahoma" w:ascii="Tahoma" w:hAnsi="Tahoma"/>
                <w:kern w:val="2"/>
                <w:sz w:val="18"/>
                <w:szCs w:val="20"/>
                <w:lang w:val="sr-RS" w:eastAsia="en-US" w:bidi="ar-SA"/>
              </w:rPr>
              <w:t>Млади (18-25.год)</w:t>
            </w:r>
          </w:p>
        </w:tc>
        <w:tc>
          <w:tcPr>
            <w:tcW w:w="895" w:type="dxa"/>
            <w:tcBorders>
              <w:top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51</w:t>
            </w:r>
          </w:p>
        </w:tc>
        <w:tc>
          <w:tcPr>
            <w:tcW w:w="900"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117</w:t>
            </w:r>
          </w:p>
        </w:tc>
        <w:tc>
          <w:tcPr>
            <w:tcW w:w="969"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168</w:t>
            </w:r>
          </w:p>
        </w:tc>
        <w:tc>
          <w:tcPr>
            <w:tcW w:w="898" w:type="dxa"/>
            <w:tcBorders>
              <w:top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44</w:t>
            </w:r>
          </w:p>
        </w:tc>
        <w:tc>
          <w:tcPr>
            <w:tcW w:w="898"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112</w:t>
            </w:r>
          </w:p>
        </w:tc>
        <w:tc>
          <w:tcPr>
            <w:tcW w:w="968"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156</w:t>
            </w:r>
          </w:p>
        </w:tc>
        <w:tc>
          <w:tcPr>
            <w:tcW w:w="898" w:type="dxa"/>
            <w:tcBorders>
              <w:top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60</w:t>
            </w:r>
          </w:p>
        </w:tc>
        <w:tc>
          <w:tcPr>
            <w:tcW w:w="898"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104</w:t>
            </w:r>
          </w:p>
        </w:tc>
        <w:tc>
          <w:tcPr>
            <w:tcW w:w="969"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164</w:t>
            </w:r>
          </w:p>
        </w:tc>
      </w:tr>
      <w:tr>
        <w:trPr/>
        <w:tc>
          <w:tcPr>
            <w:tcW w:w="2126" w:type="dxa"/>
            <w:tcBorders/>
          </w:tcPr>
          <w:p>
            <w:pPr>
              <w:pStyle w:val="Normal"/>
              <w:widowControl w:val="false"/>
              <w:suppressAutoHyphens w:val="true"/>
              <w:spacing w:lineRule="auto" w:line="276" w:before="0" w:after="0"/>
              <w:jc w:val="start"/>
              <w:rPr>
                <w:rFonts w:ascii="Tahoma" w:hAnsi="Tahoma" w:cs="Tahoma"/>
                <w:sz w:val="18"/>
                <w:szCs w:val="20"/>
                <w:lang w:val="sr-RS"/>
              </w:rPr>
            </w:pPr>
            <w:r>
              <w:rPr>
                <w:rFonts w:eastAsia="Times New Roman" w:cs="Tahoma" w:ascii="Tahoma" w:hAnsi="Tahoma"/>
                <w:kern w:val="2"/>
                <w:sz w:val="18"/>
                <w:szCs w:val="20"/>
                <w:lang w:val="sr-RS" w:eastAsia="en-US" w:bidi="ar-SA"/>
              </w:rPr>
              <w:t>Одрасли ( 26-64.год)</w:t>
            </w:r>
          </w:p>
        </w:tc>
        <w:tc>
          <w:tcPr>
            <w:tcW w:w="895" w:type="dxa"/>
            <w:tcBorders>
              <w:top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374</w:t>
            </w:r>
          </w:p>
        </w:tc>
        <w:tc>
          <w:tcPr>
            <w:tcW w:w="900"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462</w:t>
            </w:r>
          </w:p>
        </w:tc>
        <w:tc>
          <w:tcPr>
            <w:tcW w:w="969"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836</w:t>
            </w:r>
          </w:p>
        </w:tc>
        <w:tc>
          <w:tcPr>
            <w:tcW w:w="898" w:type="dxa"/>
            <w:tcBorders>
              <w:top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316</w:t>
            </w:r>
          </w:p>
        </w:tc>
        <w:tc>
          <w:tcPr>
            <w:tcW w:w="898"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408</w:t>
            </w:r>
          </w:p>
        </w:tc>
        <w:tc>
          <w:tcPr>
            <w:tcW w:w="968"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724</w:t>
            </w:r>
          </w:p>
        </w:tc>
        <w:tc>
          <w:tcPr>
            <w:tcW w:w="898" w:type="dxa"/>
            <w:tcBorders>
              <w:top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414</w:t>
            </w:r>
          </w:p>
        </w:tc>
        <w:tc>
          <w:tcPr>
            <w:tcW w:w="898"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452</w:t>
            </w:r>
          </w:p>
        </w:tc>
        <w:tc>
          <w:tcPr>
            <w:tcW w:w="969"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866</w:t>
            </w:r>
          </w:p>
        </w:tc>
      </w:tr>
      <w:tr>
        <w:trPr/>
        <w:tc>
          <w:tcPr>
            <w:tcW w:w="2126" w:type="dxa"/>
            <w:tcBorders/>
          </w:tcPr>
          <w:p>
            <w:pPr>
              <w:pStyle w:val="Normal"/>
              <w:widowControl w:val="false"/>
              <w:suppressAutoHyphens w:val="true"/>
              <w:spacing w:lineRule="auto" w:line="276" w:before="0" w:after="0"/>
              <w:jc w:val="start"/>
              <w:rPr>
                <w:rFonts w:ascii="Tahoma" w:hAnsi="Tahoma" w:cs="Tahoma"/>
                <w:sz w:val="18"/>
                <w:szCs w:val="20"/>
                <w:lang w:val="sr-RS"/>
              </w:rPr>
            </w:pPr>
            <w:r>
              <w:rPr>
                <w:rFonts w:eastAsia="Times New Roman" w:cs="Tahoma" w:ascii="Tahoma" w:hAnsi="Tahoma"/>
                <w:kern w:val="2"/>
                <w:sz w:val="18"/>
                <w:szCs w:val="20"/>
                <w:lang w:val="sr-RS" w:eastAsia="en-US" w:bidi="ar-SA"/>
              </w:rPr>
              <w:t>Стари ( 65 и више)</w:t>
            </w:r>
          </w:p>
        </w:tc>
        <w:tc>
          <w:tcPr>
            <w:tcW w:w="895" w:type="dxa"/>
            <w:tcBorders>
              <w:top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70</w:t>
            </w:r>
          </w:p>
        </w:tc>
        <w:tc>
          <w:tcPr>
            <w:tcW w:w="900"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102</w:t>
            </w:r>
          </w:p>
        </w:tc>
        <w:tc>
          <w:tcPr>
            <w:tcW w:w="969"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172</w:t>
            </w:r>
          </w:p>
        </w:tc>
        <w:tc>
          <w:tcPr>
            <w:tcW w:w="898" w:type="dxa"/>
            <w:tcBorders>
              <w:top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77</w:t>
            </w:r>
          </w:p>
        </w:tc>
        <w:tc>
          <w:tcPr>
            <w:tcW w:w="898"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110</w:t>
            </w:r>
          </w:p>
        </w:tc>
        <w:tc>
          <w:tcPr>
            <w:tcW w:w="968"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187</w:t>
            </w:r>
          </w:p>
        </w:tc>
        <w:tc>
          <w:tcPr>
            <w:tcW w:w="898" w:type="dxa"/>
            <w:tcBorders>
              <w:top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84</w:t>
            </w:r>
          </w:p>
        </w:tc>
        <w:tc>
          <w:tcPr>
            <w:tcW w:w="898"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kern w:val="2"/>
                <w:sz w:val="18"/>
                <w:szCs w:val="22"/>
                <w:lang w:val="en-US" w:eastAsia="en-US" w:bidi="ar-SA"/>
              </w:rPr>
              <w:t>123</w:t>
            </w:r>
          </w:p>
        </w:tc>
        <w:tc>
          <w:tcPr>
            <w:tcW w:w="969" w:type="dxa"/>
            <w:tcBorders>
              <w:top w:val="nil"/>
              <w:start w:val="nil"/>
            </w:tcBorders>
            <w:shd w:color="auto" w:fill="auto"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207</w:t>
            </w:r>
          </w:p>
        </w:tc>
      </w:tr>
      <w:tr>
        <w:trPr/>
        <w:tc>
          <w:tcPr>
            <w:tcW w:w="2126" w:type="dxa"/>
            <w:tcBorders/>
            <w:shd w:color="auto" w:fill="D9E2F3" w:themeFill="accent1" w:themeFillTint="33" w:val="clear"/>
          </w:tcPr>
          <w:p>
            <w:pPr>
              <w:pStyle w:val="Normal"/>
              <w:widowControl w:val="false"/>
              <w:suppressAutoHyphens w:val="true"/>
              <w:spacing w:lineRule="auto" w:line="276" w:before="0" w:after="0"/>
              <w:jc w:val="start"/>
              <w:rPr>
                <w:rFonts w:ascii="Tahoma" w:hAnsi="Tahoma" w:cs="Tahoma"/>
                <w:sz w:val="18"/>
                <w:szCs w:val="20"/>
                <w:lang w:val="sr-RS"/>
              </w:rPr>
            </w:pPr>
            <w:r>
              <w:rPr>
                <w:rFonts w:eastAsia="Times New Roman" w:cs="Tahoma" w:ascii="Tahoma" w:hAnsi="Tahoma"/>
                <w:kern w:val="2"/>
                <w:sz w:val="18"/>
                <w:szCs w:val="20"/>
                <w:lang w:val="sr-RS" w:eastAsia="en-US" w:bidi="ar-SA"/>
              </w:rPr>
              <w:t>Укупно</w:t>
            </w:r>
          </w:p>
        </w:tc>
        <w:tc>
          <w:tcPr>
            <w:tcW w:w="895" w:type="dxa"/>
            <w:tcBorders>
              <w:top w:val="nil"/>
            </w:tcBorders>
            <w:shd w:color="auto" w:fill="D9E2F3" w:themeFill="accent1" w:themeFillTint="33"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775</w:t>
            </w:r>
          </w:p>
        </w:tc>
        <w:tc>
          <w:tcPr>
            <w:tcW w:w="900" w:type="dxa"/>
            <w:tcBorders>
              <w:top w:val="nil"/>
              <w:start w:val="nil"/>
            </w:tcBorders>
            <w:shd w:color="auto" w:fill="D9E2F3" w:themeFill="accent1" w:themeFillTint="33"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931</w:t>
            </w:r>
          </w:p>
        </w:tc>
        <w:tc>
          <w:tcPr>
            <w:tcW w:w="969" w:type="dxa"/>
            <w:tcBorders>
              <w:top w:val="nil"/>
              <w:start w:val="nil"/>
            </w:tcBorders>
            <w:shd w:color="auto" w:fill="D9E2F3" w:themeFill="accent1" w:themeFillTint="33"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1706</w:t>
            </w:r>
          </w:p>
        </w:tc>
        <w:tc>
          <w:tcPr>
            <w:tcW w:w="898" w:type="dxa"/>
            <w:tcBorders>
              <w:top w:val="nil"/>
            </w:tcBorders>
            <w:shd w:color="auto" w:fill="D9E2F3" w:themeFill="accent1" w:themeFillTint="33"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719</w:t>
            </w:r>
          </w:p>
        </w:tc>
        <w:tc>
          <w:tcPr>
            <w:tcW w:w="898" w:type="dxa"/>
            <w:tcBorders>
              <w:top w:val="nil"/>
              <w:start w:val="nil"/>
            </w:tcBorders>
            <w:shd w:color="auto" w:fill="D9E2F3" w:themeFill="accent1" w:themeFillTint="33"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865</w:t>
            </w:r>
          </w:p>
        </w:tc>
        <w:tc>
          <w:tcPr>
            <w:tcW w:w="968" w:type="dxa"/>
            <w:tcBorders>
              <w:top w:val="nil"/>
              <w:start w:val="nil"/>
            </w:tcBorders>
            <w:shd w:color="auto" w:fill="D9E2F3" w:themeFill="accent1" w:themeFillTint="33"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1584</w:t>
            </w:r>
          </w:p>
        </w:tc>
        <w:tc>
          <w:tcPr>
            <w:tcW w:w="898" w:type="dxa"/>
            <w:tcBorders>
              <w:top w:val="nil"/>
            </w:tcBorders>
            <w:shd w:color="auto" w:fill="D9E2F3" w:themeFill="accent1" w:themeFillTint="33"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801</w:t>
            </w:r>
          </w:p>
        </w:tc>
        <w:tc>
          <w:tcPr>
            <w:tcW w:w="898" w:type="dxa"/>
            <w:tcBorders>
              <w:top w:val="nil"/>
              <w:start w:val="nil"/>
            </w:tcBorders>
            <w:shd w:color="auto" w:fill="D9E2F3" w:themeFill="accent1" w:themeFillTint="33"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853</w:t>
            </w:r>
          </w:p>
        </w:tc>
        <w:tc>
          <w:tcPr>
            <w:tcW w:w="969" w:type="dxa"/>
            <w:tcBorders>
              <w:top w:val="nil"/>
              <w:start w:val="nil"/>
            </w:tcBorders>
            <w:shd w:color="auto" w:fill="D9E2F3" w:themeFill="accent1" w:themeFillTint="33" w:val="clear"/>
            <w:vAlign w:val="bottom"/>
          </w:tcPr>
          <w:p>
            <w:pPr>
              <w:pStyle w:val="Normal"/>
              <w:widowControl w:val="false"/>
              <w:suppressAutoHyphens w:val="true"/>
              <w:spacing w:lineRule="auto" w:line="276" w:before="0" w:after="0"/>
              <w:jc w:val="center"/>
              <w:rPr>
                <w:rFonts w:ascii="Tahoma" w:hAnsi="Tahoma" w:cs="Tahoma"/>
                <w:sz w:val="18"/>
                <w:szCs w:val="20"/>
                <w:lang w:val="sr-RS"/>
              </w:rPr>
            </w:pPr>
            <w:r>
              <w:rPr>
                <w:rFonts w:eastAsia="Calibri" w:cs="Tahoma" w:ascii="Tahoma" w:hAnsi="Tahoma"/>
                <w:b/>
                <w:bCs/>
                <w:kern w:val="2"/>
                <w:sz w:val="18"/>
                <w:szCs w:val="22"/>
                <w:lang w:val="en-US" w:eastAsia="en-US" w:bidi="ar-SA"/>
              </w:rPr>
              <w:t>1654</w:t>
            </w:r>
          </w:p>
        </w:tc>
      </w:tr>
    </w:tbl>
    <w:p>
      <w:pPr>
        <w:pStyle w:val="Normal"/>
        <w:spacing w:before="0" w:after="0"/>
        <w:jc w:val="end"/>
        <w:rPr>
          <w:rFonts w:ascii="Tahoma" w:hAnsi="Tahoma" w:eastAsia="Times New Roman" w:cs="Tahoma"/>
          <w:i/>
          <w:i/>
          <w:sz w:val="18"/>
          <w:szCs w:val="18"/>
          <w:lang w:val="sr-RS"/>
        </w:rPr>
      </w:pPr>
      <w:r>
        <w:rPr>
          <w:rFonts w:eastAsia="Times New Roman" w:cs="Tahoma" w:ascii="Tahoma" w:hAnsi="Tahoma"/>
          <w:i/>
          <w:sz w:val="18"/>
          <w:szCs w:val="18"/>
          <w:lang w:val="sr-RS"/>
        </w:rPr>
        <w:t xml:space="preserve">     </w:t>
      </w:r>
      <w:r>
        <w:rPr>
          <w:rFonts w:eastAsia="Times New Roman" w:cs="Tahoma" w:ascii="Tahoma" w:hAnsi="Tahoma"/>
          <w:i/>
          <w:sz w:val="18"/>
          <w:szCs w:val="18"/>
          <w:lang w:val="sr-RS"/>
        </w:rPr>
        <w:t>Извор: Извештај ЦСР за 2021, 2022 и 2023.годину</w:t>
      </w:r>
    </w:p>
    <w:p>
      <w:pPr>
        <w:pStyle w:val="Normal"/>
        <w:spacing w:before="0" w:after="0"/>
        <w:jc w:val="end"/>
        <w:rPr>
          <w:rFonts w:ascii="Tahoma" w:hAnsi="Tahoma" w:eastAsia="Times New Roman" w:cs="Tahoma"/>
          <w:i/>
          <w:i/>
          <w:sz w:val="18"/>
          <w:szCs w:val="18"/>
          <w:lang w:val="sr-RS"/>
        </w:rPr>
      </w:pPr>
      <w:r>
        <w:rPr>
          <w:rFonts w:eastAsia="Times New Roman" w:cs="Tahoma" w:ascii="Tahoma" w:hAnsi="Tahoma"/>
          <w:i/>
          <w:sz w:val="18"/>
          <w:szCs w:val="18"/>
          <w:lang w:val="sr-RS"/>
        </w:rPr>
      </w:r>
    </w:p>
    <w:p>
      <w:pPr>
        <w:pStyle w:val="Normal"/>
        <w:spacing w:before="0" w:after="0"/>
        <w:jc w:val="end"/>
        <w:rPr>
          <w:rFonts w:ascii="Tahoma" w:hAnsi="Tahoma" w:cs="Tahoma"/>
          <w:i/>
          <w:i/>
          <w:lang w:val="sr-RS"/>
        </w:rPr>
      </w:pPr>
      <w:r>
        <w:rPr>
          <w:rFonts w:cs="Tahoma" w:ascii="Tahoma" w:hAnsi="Tahoma"/>
          <w:i/>
          <w:lang w:val="sr-RS"/>
        </w:rPr>
      </w:r>
    </w:p>
    <w:p>
      <w:pPr>
        <w:pStyle w:val="Normal"/>
        <w:spacing w:before="0" w:after="0"/>
        <w:rPr>
          <w:rFonts w:ascii="Tahoma" w:hAnsi="Tahoma" w:cs="Tahoma"/>
          <w:sz w:val="18"/>
          <w:lang w:val="sr-RS"/>
        </w:rPr>
      </w:pPr>
      <w:r>
        <w:rPr>
          <w:rFonts w:cs="Tahoma" w:ascii="Tahoma" w:hAnsi="Tahoma"/>
          <w:sz w:val="18"/>
          <w:lang w:val="sr-RS"/>
        </w:rPr>
        <w:t>Табела 7.2: Тренд кретања броја корисника на активној евиденцији ЦСР у току године, према пребивалишту корисника, полу и старости</w:t>
      </w:r>
    </w:p>
    <w:tbl>
      <w:tblPr>
        <w:tblW w:w="10575" w:type="dxa"/>
        <w:jc w:val="start"/>
        <w:tblInd w:w="-856" w:type="dxa"/>
        <w:tblLayout w:type="fixed"/>
        <w:tblCellMar>
          <w:top w:w="0" w:type="dxa"/>
          <w:start w:w="108" w:type="dxa"/>
          <w:bottom w:w="0" w:type="dxa"/>
          <w:end w:w="108" w:type="dxa"/>
        </w:tblCellMar>
        <w:tblLook w:firstRow="1" w:noVBand="1" w:lastRow="0" w:firstColumn="1" w:lastColumn="0" w:noHBand="0" w:val="04a0"/>
      </w:tblPr>
      <w:tblGrid>
        <w:gridCol w:w="1134"/>
        <w:gridCol w:w="1374"/>
        <w:gridCol w:w="408"/>
        <w:gridCol w:w="1567"/>
        <w:gridCol w:w="1653"/>
        <w:gridCol w:w="1624"/>
        <w:gridCol w:w="1925"/>
        <w:gridCol w:w="888"/>
      </w:tblGrid>
      <w:tr>
        <w:trPr>
          <w:trHeight w:val="290" w:hRule="atLeast"/>
        </w:trPr>
        <w:tc>
          <w:tcPr>
            <w:tcW w:w="1134"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eastAsia="Times New Roman" w:cs="Tahoma"/>
                <w:b/>
                <w:b/>
                <w:bCs/>
                <w:sz w:val="18"/>
                <w:szCs w:val="18"/>
                <w:lang w:val="sr-RS" w:eastAsia="sr-Latn-RS"/>
              </w:rPr>
            </w:pPr>
            <w:r>
              <w:rPr>
                <w:rFonts w:eastAsia="Times New Roman" w:cs="Tahoma" w:ascii="Tahoma" w:hAnsi="Tahoma"/>
                <w:b/>
                <w:bCs/>
                <w:sz w:val="18"/>
                <w:szCs w:val="18"/>
                <w:lang w:val="sr-RS" w:eastAsia="sr-Latn-RS"/>
              </w:rPr>
              <w:t>Година</w:t>
            </w:r>
          </w:p>
        </w:tc>
        <w:tc>
          <w:tcPr>
            <w:tcW w:w="1782" w:type="dxa"/>
            <w:gridSpan w:val="2"/>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Старосне групе</w:t>
            </w:r>
          </w:p>
        </w:tc>
        <w:tc>
          <w:tcPr>
            <w:tcW w:w="1567" w:type="dxa"/>
            <w:tcBorders>
              <w:top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Деца              (0-17)</w:t>
            </w:r>
          </w:p>
        </w:tc>
        <w:tc>
          <w:tcPr>
            <w:tcW w:w="1653" w:type="dxa"/>
            <w:tcBorders>
              <w:top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Млади          (18-25)</w:t>
            </w:r>
          </w:p>
        </w:tc>
        <w:tc>
          <w:tcPr>
            <w:tcW w:w="1624" w:type="dxa"/>
            <w:tcBorders>
              <w:top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Одрасли      (26-64)</w:t>
            </w:r>
          </w:p>
        </w:tc>
        <w:tc>
          <w:tcPr>
            <w:tcW w:w="1925" w:type="dxa"/>
            <w:tcBorders>
              <w:top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Старији</w:t>
            </w:r>
          </w:p>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 xml:space="preserve"> </w:t>
            </w:r>
            <w:r>
              <w:rPr>
                <w:rFonts w:eastAsia="Times New Roman" w:cs="Tahoma" w:ascii="Tahoma" w:hAnsi="Tahoma"/>
                <w:b/>
                <w:bCs/>
                <w:sz w:val="18"/>
                <w:szCs w:val="18"/>
                <w:lang w:eastAsia="sr-Latn-RS"/>
              </w:rPr>
              <w:t>(65 и више)</w:t>
            </w:r>
          </w:p>
        </w:tc>
        <w:tc>
          <w:tcPr>
            <w:tcW w:w="888" w:type="dxa"/>
            <w:tcBorders>
              <w:top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Укупно</w:t>
            </w:r>
          </w:p>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r>
      <w:tr>
        <w:trPr>
          <w:trHeight w:val="290" w:hRule="atLeast"/>
        </w:trPr>
        <w:tc>
          <w:tcPr>
            <w:tcW w:w="1134" w:type="dxa"/>
            <w:vMerge w:val="restart"/>
            <w:tcBorders>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val="sr-RS" w:eastAsia="sr-Latn-RS"/>
              </w:rPr>
            </w:pPr>
            <w:r>
              <w:rPr>
                <w:rFonts w:eastAsia="Times New Roman" w:cs="Tahoma" w:ascii="Tahoma" w:hAnsi="Tahoma"/>
                <w:b/>
                <w:bCs/>
                <w:sz w:val="18"/>
                <w:szCs w:val="18"/>
                <w:lang w:val="sr-RS" w:eastAsia="sr-Latn-RS"/>
              </w:rPr>
              <w:t>2021</w:t>
            </w:r>
          </w:p>
        </w:tc>
        <w:tc>
          <w:tcPr>
            <w:tcW w:w="1374" w:type="dxa"/>
            <w:vMerge w:val="restart"/>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Градско</w:t>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M</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212</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33</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246</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30</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521</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374" w:type="dxa"/>
            <w:vMerge w:val="continue"/>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Ж</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181</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89</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304</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43</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617</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782" w:type="dxa"/>
            <w:gridSpan w:val="2"/>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Укупно Градско</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393</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122</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550</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73</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1138</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374" w:type="dxa"/>
            <w:vMerge w:val="restart"/>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Остало</w:t>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M</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68</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18</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128</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40</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254</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374" w:type="dxa"/>
            <w:vMerge w:val="continue"/>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Ж</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69</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28</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158</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59</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314</w:t>
            </w:r>
          </w:p>
        </w:tc>
      </w:tr>
      <w:tr>
        <w:trPr>
          <w:trHeight w:val="290" w:hRule="atLeast"/>
        </w:trPr>
        <w:tc>
          <w:tcPr>
            <w:tcW w:w="1134" w:type="dxa"/>
            <w:vMerge w:val="continue"/>
            <w:tcBorders>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782" w:type="dxa"/>
            <w:gridSpan w:val="2"/>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Укупно Остало</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137</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46</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286</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99</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568</w:t>
            </w:r>
          </w:p>
        </w:tc>
      </w:tr>
      <w:tr>
        <w:trPr>
          <w:trHeight w:val="290" w:hRule="atLeast"/>
        </w:trPr>
        <w:tc>
          <w:tcPr>
            <w:tcW w:w="1134" w:type="dxa"/>
            <w:vMerge w:val="restart"/>
            <w:tcBorders>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val="sr-RS" w:eastAsia="sr-Latn-RS"/>
              </w:rPr>
            </w:pPr>
            <w:r>
              <w:rPr>
                <w:rFonts w:eastAsia="Times New Roman" w:cs="Tahoma" w:ascii="Tahoma" w:hAnsi="Tahoma"/>
                <w:b/>
                <w:bCs/>
                <w:sz w:val="18"/>
                <w:szCs w:val="18"/>
                <w:lang w:val="sr-RS" w:eastAsia="sr-Latn-RS"/>
              </w:rPr>
              <w:t>2022</w:t>
            </w:r>
          </w:p>
        </w:tc>
        <w:tc>
          <w:tcPr>
            <w:tcW w:w="1374" w:type="dxa"/>
            <w:vMerge w:val="restart"/>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Градско</w:t>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M</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203</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32</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212</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36</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483</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374" w:type="dxa"/>
            <w:vMerge w:val="continue"/>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Ж</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152</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79</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272</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59</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562</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782" w:type="dxa"/>
            <w:gridSpan w:val="2"/>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Укупно Градско</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355</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111</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484</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95</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1045</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374" w:type="dxa"/>
            <w:vMerge w:val="restart"/>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Остало</w:t>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M</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79</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12</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104</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41</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236</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374" w:type="dxa"/>
            <w:vMerge w:val="continue"/>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Ж</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83</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33</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136</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51</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303</w:t>
            </w:r>
          </w:p>
        </w:tc>
      </w:tr>
      <w:tr>
        <w:trPr>
          <w:trHeight w:val="290" w:hRule="atLeast"/>
        </w:trPr>
        <w:tc>
          <w:tcPr>
            <w:tcW w:w="1134" w:type="dxa"/>
            <w:vMerge w:val="continue"/>
            <w:tcBorders>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782" w:type="dxa"/>
            <w:gridSpan w:val="2"/>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Укупно Остало</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162</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45</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240</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92</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539</w:t>
            </w:r>
          </w:p>
        </w:tc>
      </w:tr>
      <w:tr>
        <w:trPr>
          <w:trHeight w:val="290" w:hRule="atLeast"/>
        </w:trPr>
        <w:tc>
          <w:tcPr>
            <w:tcW w:w="1134" w:type="dxa"/>
            <w:vMerge w:val="restart"/>
            <w:tcBorders>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val="sr-RS" w:eastAsia="sr-Latn-RS"/>
              </w:rPr>
            </w:pPr>
            <w:r>
              <w:rPr>
                <w:rFonts w:eastAsia="Times New Roman" w:cs="Tahoma" w:ascii="Tahoma" w:hAnsi="Tahoma"/>
                <w:b/>
                <w:bCs/>
                <w:sz w:val="18"/>
                <w:szCs w:val="18"/>
                <w:lang w:val="sr-RS" w:eastAsia="sr-Latn-RS"/>
              </w:rPr>
              <w:t>2023</w:t>
            </w:r>
          </w:p>
        </w:tc>
        <w:tc>
          <w:tcPr>
            <w:tcW w:w="1374" w:type="dxa"/>
            <w:vMerge w:val="restart"/>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Градско</w:t>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M</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158</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43</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266</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44</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511</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374" w:type="dxa"/>
            <w:vMerge w:val="continue"/>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Ж</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117</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62</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298</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71</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548</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782" w:type="dxa"/>
            <w:gridSpan w:val="2"/>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Укупно Градско</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275</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105</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564</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115</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1059</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374" w:type="dxa"/>
            <w:vMerge w:val="restart"/>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Остало</w:t>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M</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85</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17</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148</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40</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290</w:t>
            </w:r>
          </w:p>
        </w:tc>
      </w:tr>
      <w:tr>
        <w:trPr>
          <w:trHeight w:val="290" w:hRule="atLeast"/>
        </w:trPr>
        <w:tc>
          <w:tcPr>
            <w:tcW w:w="1134" w:type="dxa"/>
            <w:vMerge w:val="continue"/>
            <w:tcBorders>
              <w:start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374" w:type="dxa"/>
            <w:vMerge w:val="continue"/>
            <w:tcBorders>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40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Ж</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57</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42</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154</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color w:val="000000"/>
                <w:sz w:val="18"/>
                <w:szCs w:val="18"/>
                <w:lang w:eastAsia="sr-Latn-RS"/>
              </w:rPr>
            </w:pPr>
            <w:r>
              <w:rPr>
                <w:rFonts w:eastAsia="Times New Roman" w:cs="Tahoma" w:ascii="Tahoma" w:hAnsi="Tahoma"/>
                <w:color w:val="000000"/>
                <w:sz w:val="18"/>
                <w:szCs w:val="18"/>
                <w:lang w:eastAsia="sr-Latn-RS"/>
              </w:rPr>
              <w:t>52</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305</w:t>
            </w:r>
          </w:p>
        </w:tc>
      </w:tr>
      <w:tr>
        <w:trPr>
          <w:trHeight w:val="290" w:hRule="atLeast"/>
        </w:trPr>
        <w:tc>
          <w:tcPr>
            <w:tcW w:w="1134" w:type="dxa"/>
            <w:vMerge w:val="continue"/>
            <w:tcBorders>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1782" w:type="dxa"/>
            <w:gridSpan w:val="2"/>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Укупно Остало</w:t>
            </w:r>
          </w:p>
        </w:tc>
        <w:tc>
          <w:tcPr>
            <w:tcW w:w="15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142</w:t>
            </w:r>
          </w:p>
        </w:tc>
        <w:tc>
          <w:tcPr>
            <w:tcW w:w="165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59</w:t>
            </w:r>
          </w:p>
        </w:tc>
        <w:tc>
          <w:tcPr>
            <w:tcW w:w="1624"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302</w:t>
            </w:r>
          </w:p>
        </w:tc>
        <w:tc>
          <w:tcPr>
            <w:tcW w:w="192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92</w:t>
            </w:r>
          </w:p>
        </w:tc>
        <w:tc>
          <w:tcPr>
            <w:tcW w:w="88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595</w:t>
            </w:r>
          </w:p>
        </w:tc>
      </w:tr>
    </w:tbl>
    <w:p>
      <w:pPr>
        <w:pStyle w:val="Normal"/>
        <w:jc w:val="end"/>
        <w:rPr>
          <w:rFonts w:ascii="Tahoma" w:hAnsi="Tahoma" w:cs="Tahoma"/>
          <w:lang w:val="sr-RS"/>
        </w:rPr>
      </w:pPr>
      <w:r>
        <w:rPr>
          <w:rFonts w:eastAsia="Times New Roman" w:cs="Tahoma" w:ascii="Tahoma" w:hAnsi="Tahoma"/>
          <w:bCs/>
          <w:i/>
          <w:iCs/>
          <w:sz w:val="18"/>
          <w:szCs w:val="18"/>
          <w:lang w:val="sr-RS"/>
        </w:rPr>
        <w:t xml:space="preserve">Извор: </w:t>
      </w:r>
      <w:r>
        <w:rPr>
          <w:rFonts w:eastAsia="Times New Roman" w:cs="Tahoma" w:ascii="Tahoma" w:hAnsi="Tahoma"/>
          <w:bCs/>
          <w:i/>
          <w:iCs/>
          <w:sz w:val="18"/>
          <w:szCs w:val="18"/>
          <w:shd w:fill="FFFFFF" w:val="clear"/>
          <w:lang w:val="sr-RS"/>
        </w:rPr>
        <w:t>Годишњи извештај Центра за социјални рад за 2021, 2022, 2023.годину.</w:t>
      </w:r>
    </w:p>
    <w:p>
      <w:pPr>
        <w:pStyle w:val="Normal"/>
        <w:rPr>
          <w:lang w:val="sr-RS"/>
        </w:rPr>
      </w:pPr>
      <w:r>
        <w:rPr>
          <w:lang w:val="sr-RS"/>
        </w:rPr>
      </w:r>
    </w:p>
    <w:p>
      <w:pPr>
        <w:pStyle w:val="Normal"/>
        <w:spacing w:before="0" w:after="0"/>
        <w:rPr>
          <w:rFonts w:ascii="Tahoma" w:hAnsi="Tahoma" w:eastAsia="Times New Roman" w:cs="Tahoma"/>
          <w:i/>
          <w:i/>
          <w:color w:val="1F4E79" w:themeColor="accent5" w:themeShade="80"/>
          <w:sz w:val="18"/>
          <w:szCs w:val="18"/>
          <w:lang w:val="sr-RS"/>
        </w:rPr>
      </w:pPr>
      <w:r>
        <w:rPr>
          <w:rFonts w:eastAsia="Times New Roman" w:cs="Tahoma" w:ascii="Tahoma" w:hAnsi="Tahoma"/>
          <w:i/>
          <w:color w:val="1F4E79" w:themeColor="accent5" w:themeShade="80"/>
          <w:sz w:val="18"/>
          <w:szCs w:val="18"/>
          <w:lang w:val="sr-RS"/>
        </w:rPr>
      </w:r>
    </w:p>
    <w:p>
      <w:pPr>
        <w:pStyle w:val="Normal"/>
        <w:spacing w:before="0" w:after="0"/>
        <w:rPr>
          <w:rFonts w:ascii="Tahoma" w:hAnsi="Tahoma" w:eastAsia="Times New Roman" w:cs="Tahoma"/>
          <w:i/>
          <w:i/>
          <w:color w:val="1F4E79" w:themeColor="accent5" w:themeShade="80"/>
          <w:sz w:val="18"/>
          <w:szCs w:val="18"/>
          <w:lang w:val="sr-RS"/>
        </w:rPr>
      </w:pPr>
      <w:r>
        <w:rPr>
          <w:rFonts w:eastAsia="Times New Roman" w:cs="Tahoma" w:ascii="Tahoma" w:hAnsi="Tahoma"/>
          <w:i/>
          <w:color w:val="1F4E79" w:themeColor="accent5" w:themeShade="80"/>
          <w:sz w:val="18"/>
          <w:szCs w:val="18"/>
          <w:lang w:val="sr-RS"/>
        </w:rPr>
      </w:r>
    </w:p>
    <w:p>
      <w:pPr>
        <w:pStyle w:val="Normal"/>
        <w:spacing w:before="0" w:after="0"/>
        <w:rPr>
          <w:rFonts w:ascii="Tahoma" w:hAnsi="Tahoma" w:cs="Tahoma"/>
          <w:lang w:val="sr-RS"/>
        </w:rPr>
      </w:pPr>
      <w:r>
        <w:rPr>
          <w:rFonts w:eastAsia="Times New Roman" w:cs="Tahoma" w:ascii="Tahoma" w:hAnsi="Tahoma"/>
          <w:sz w:val="18"/>
          <w:szCs w:val="18"/>
          <w:lang w:val="sr-RS"/>
        </w:rPr>
        <w:t>Табела 7.3.  Тренд броја деце у регистру ЦСР на активној евиденцији у току године према узрасту и полу</w:t>
      </w:r>
    </w:p>
    <w:tbl>
      <w:tblPr>
        <w:tblW w:w="9355" w:type="dxa"/>
        <w:jc w:val="start"/>
        <w:tblInd w:w="-5" w:type="dxa"/>
        <w:tblLayout w:type="fixed"/>
        <w:tblCellMar>
          <w:top w:w="0" w:type="dxa"/>
          <w:start w:w="108" w:type="dxa"/>
          <w:bottom w:w="0" w:type="dxa"/>
          <w:end w:w="108" w:type="dxa"/>
        </w:tblCellMar>
        <w:tblLook w:firstRow="1" w:noVBand="1" w:lastRow="0" w:firstColumn="1" w:lastColumn="0" w:noHBand="0" w:val="04a0"/>
      </w:tblPr>
      <w:tblGrid>
        <w:gridCol w:w="1841"/>
        <w:gridCol w:w="853"/>
        <w:gridCol w:w="598"/>
        <w:gridCol w:w="970"/>
        <w:gridCol w:w="787"/>
        <w:gridCol w:w="796"/>
        <w:gridCol w:w="967"/>
        <w:gridCol w:w="788"/>
        <w:gridCol w:w="785"/>
        <w:gridCol w:w="969"/>
      </w:tblGrid>
      <w:tr>
        <w:trPr>
          <w:trHeight w:val="290" w:hRule="atLeast"/>
        </w:trPr>
        <w:tc>
          <w:tcPr>
            <w:tcW w:w="1841" w:type="dxa"/>
            <w:vMerge w:val="restart"/>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Узрасне групе</w:t>
            </w:r>
          </w:p>
        </w:tc>
        <w:tc>
          <w:tcPr>
            <w:tcW w:w="2421" w:type="dxa"/>
            <w:gridSpan w:val="3"/>
            <w:tcBorders>
              <w:top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ind w:end="185" w:hanging="0"/>
              <w:jc w:val="center"/>
              <w:rPr>
                <w:rFonts w:ascii="Tahoma" w:hAnsi="Tahoma" w:eastAsia="Times New Roman" w:cs="Tahoma"/>
                <w:b/>
                <w:b/>
                <w:bCs/>
                <w:kern w:val="0"/>
                <w:sz w:val="18"/>
                <w:lang w:val="sr-RS" w:eastAsia="sr-Latn-RS"/>
                <w14:ligatures w14:val="none"/>
              </w:rPr>
            </w:pPr>
            <w:r>
              <w:rPr>
                <w:rFonts w:eastAsia="Times New Roman" w:cs="Tahoma" w:ascii="Tahoma" w:hAnsi="Tahoma"/>
                <w:b/>
                <w:bCs/>
                <w:kern w:val="0"/>
                <w:sz w:val="18"/>
                <w:lang w:val="sr-RS" w:eastAsia="sr-Latn-RS"/>
                <w14:ligatures w14:val="none"/>
              </w:rPr>
              <w:t>2021</w:t>
            </w:r>
          </w:p>
        </w:tc>
        <w:tc>
          <w:tcPr>
            <w:tcW w:w="2550" w:type="dxa"/>
            <w:gridSpan w:val="3"/>
            <w:tcBorders>
              <w:top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ind w:end="185" w:hanging="0"/>
              <w:jc w:val="center"/>
              <w:rPr>
                <w:rFonts w:ascii="Tahoma" w:hAnsi="Tahoma" w:eastAsia="Times New Roman" w:cs="Tahoma"/>
                <w:b/>
                <w:b/>
                <w:bCs/>
                <w:kern w:val="0"/>
                <w:sz w:val="18"/>
                <w:lang w:val="sr-RS" w:eastAsia="sr-Latn-RS"/>
                <w14:ligatures w14:val="none"/>
              </w:rPr>
            </w:pPr>
            <w:r>
              <w:rPr>
                <w:rFonts w:eastAsia="Times New Roman" w:cs="Tahoma" w:ascii="Tahoma" w:hAnsi="Tahoma"/>
                <w:b/>
                <w:bCs/>
                <w:kern w:val="0"/>
                <w:sz w:val="18"/>
                <w:lang w:val="sr-RS" w:eastAsia="sr-Latn-RS"/>
                <w14:ligatures w14:val="none"/>
              </w:rPr>
              <w:t>2022</w:t>
            </w:r>
          </w:p>
        </w:tc>
        <w:tc>
          <w:tcPr>
            <w:tcW w:w="2542" w:type="dxa"/>
            <w:gridSpan w:val="3"/>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ind w:end="185" w:hanging="0"/>
              <w:jc w:val="center"/>
              <w:rPr>
                <w:rFonts w:ascii="Tahoma" w:hAnsi="Tahoma" w:eastAsia="Times New Roman" w:cs="Tahoma"/>
                <w:b/>
                <w:b/>
                <w:bCs/>
                <w:kern w:val="0"/>
                <w:sz w:val="18"/>
                <w:lang w:val="sr-RS" w:eastAsia="sr-Latn-RS"/>
                <w14:ligatures w14:val="none"/>
              </w:rPr>
            </w:pPr>
            <w:r>
              <w:rPr>
                <w:rFonts w:eastAsia="Times New Roman" w:cs="Tahoma" w:ascii="Tahoma" w:hAnsi="Tahoma"/>
                <w:b/>
                <w:bCs/>
                <w:kern w:val="0"/>
                <w:sz w:val="18"/>
                <w:lang w:val="sr-RS" w:eastAsia="sr-Latn-RS"/>
                <w14:ligatures w14:val="none"/>
              </w:rPr>
              <w:t>2023</w:t>
            </w:r>
          </w:p>
        </w:tc>
      </w:tr>
      <w:tr>
        <w:trPr>
          <w:trHeight w:val="290" w:hRule="atLeast"/>
        </w:trPr>
        <w:tc>
          <w:tcPr>
            <w:tcW w:w="1841" w:type="dxa"/>
            <w:vMerge w:val="continue"/>
            <w:tcBorders>
              <w:top w:val="single" w:sz="4" w:space="0" w:color="000000"/>
              <w:start w:val="single" w:sz="4" w:space="0" w:color="000000"/>
              <w:bottom w:val="single" w:sz="4" w:space="0" w:color="000000"/>
              <w:end w:val="single" w:sz="4" w:space="0" w:color="000000"/>
            </w:tcBorders>
            <w:shd w:color="auto" w:fill="D9E2F3" w:themeFill="accent1" w:themeFillTint="33" w:val="clear"/>
            <w:vAlign w:val="cente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r>
          </w:p>
        </w:tc>
        <w:tc>
          <w:tcPr>
            <w:tcW w:w="853" w:type="dxa"/>
            <w:tcBorders>
              <w:bottom w:val="single" w:sz="4" w:space="0" w:color="000000"/>
              <w:end w:val="single" w:sz="4" w:space="0" w:color="000000"/>
            </w:tcBorders>
            <w:shd w:color="auto" w:fill="D9E2F3" w:themeFill="accent1" w:themeFillTint="33" w:val="clear"/>
          </w:tcPr>
          <w:p>
            <w:pPr>
              <w:pStyle w:val="Normal"/>
              <w:widowControl w:val="false"/>
              <w:spacing w:lineRule="auto" w:line="240" w:before="0" w:after="0"/>
              <w:jc w:val="center"/>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М</w:t>
            </w:r>
          </w:p>
        </w:tc>
        <w:tc>
          <w:tcPr>
            <w:tcW w:w="598" w:type="dxa"/>
            <w:tcBorders>
              <w:bottom w:val="single" w:sz="4" w:space="0" w:color="000000"/>
              <w:end w:val="single" w:sz="4" w:space="0" w:color="000000"/>
            </w:tcBorders>
            <w:shd w:color="auto" w:fill="D9E2F3" w:themeFill="accent1" w:themeFillTint="33" w:val="clear"/>
          </w:tcPr>
          <w:p>
            <w:pPr>
              <w:pStyle w:val="Normal"/>
              <w:widowControl w:val="false"/>
              <w:spacing w:lineRule="auto" w:line="240" w:before="0" w:after="0"/>
              <w:jc w:val="center"/>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Ж</w:t>
            </w:r>
          </w:p>
        </w:tc>
        <w:tc>
          <w:tcPr>
            <w:tcW w:w="970" w:type="dxa"/>
            <w:tcBorders>
              <w:top w:val="single" w:sz="4" w:space="0" w:color="000000"/>
              <w:start w:val="single" w:sz="4" w:space="0" w:color="000000"/>
              <w:bottom w:val="single" w:sz="4" w:space="0" w:color="000000"/>
              <w:end w:val="single" w:sz="4" w:space="0" w:color="000000"/>
            </w:tcBorders>
            <w:shd w:color="auto" w:fill="D9E2F3" w:themeFill="accent1" w:themeFillTint="33" w:val="clear"/>
            <w:vAlign w:val="cente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Укупно</w:t>
            </w:r>
          </w:p>
        </w:tc>
        <w:tc>
          <w:tcPr>
            <w:tcW w:w="787"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М</w:t>
            </w:r>
          </w:p>
        </w:tc>
        <w:tc>
          <w:tcPr>
            <w:tcW w:w="79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Ж</w:t>
            </w:r>
          </w:p>
        </w:tc>
        <w:tc>
          <w:tcPr>
            <w:tcW w:w="967" w:type="dxa"/>
            <w:tcBorders>
              <w:top w:val="single" w:sz="4" w:space="0" w:color="000000"/>
              <w:start w:val="single" w:sz="4" w:space="0" w:color="000000"/>
              <w:bottom w:val="single" w:sz="4" w:space="0" w:color="000000"/>
              <w:end w:val="single" w:sz="4" w:space="0" w:color="000000"/>
            </w:tcBorders>
            <w:shd w:color="auto" w:fill="D9E2F3" w:themeFill="accent1" w:themeFillTint="33" w:val="clear"/>
            <w:vAlign w:val="cente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Укупно</w:t>
            </w:r>
          </w:p>
        </w:tc>
        <w:tc>
          <w:tcPr>
            <w:tcW w:w="788"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М</w:t>
            </w:r>
          </w:p>
        </w:tc>
        <w:tc>
          <w:tcPr>
            <w:tcW w:w="785"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Ж</w:t>
            </w:r>
          </w:p>
        </w:tc>
        <w:tc>
          <w:tcPr>
            <w:tcW w:w="969" w:type="dxa"/>
            <w:tcBorders>
              <w:top w:val="single" w:sz="4" w:space="0" w:color="000000"/>
              <w:start w:val="single" w:sz="4" w:space="0" w:color="000000"/>
              <w:bottom w:val="single" w:sz="4" w:space="0" w:color="000000"/>
              <w:end w:val="single" w:sz="4" w:space="0" w:color="000000"/>
            </w:tcBorders>
            <w:shd w:color="auto" w:fill="D9E2F3" w:themeFill="accent1" w:themeFillTint="33" w:val="clear"/>
            <w:vAlign w:val="cente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Укупно</w:t>
            </w:r>
          </w:p>
        </w:tc>
      </w:tr>
      <w:tr>
        <w:trPr>
          <w:trHeight w:val="290" w:hRule="atLeast"/>
        </w:trPr>
        <w:tc>
          <w:tcPr>
            <w:tcW w:w="1841" w:type="dxa"/>
            <w:tcBorders>
              <w:start w:val="single" w:sz="4" w:space="0" w:color="000000"/>
              <w:bottom w:val="single" w:sz="4" w:space="0" w:color="000000"/>
              <w:end w:val="single" w:sz="4" w:space="0" w:color="000000"/>
            </w:tcBorders>
            <w:shd w:color="auto" w:fill="auto" w:val="clea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0 - 2</w:t>
            </w:r>
          </w:p>
        </w:tc>
        <w:tc>
          <w:tcPr>
            <w:tcW w:w="85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kern w:val="0"/>
                <w:sz w:val="18"/>
                <w:lang w:val="sr-Latn-RS" w:eastAsia="sr-Latn-RS"/>
                <w14:ligatures w14:val="none"/>
              </w:rPr>
            </w:pPr>
            <w:r>
              <w:rPr>
                <w:rFonts w:cs="Calibri"/>
              </w:rPr>
              <w:t>28</w:t>
            </w:r>
          </w:p>
        </w:tc>
        <w:tc>
          <w:tcPr>
            <w:tcW w:w="598"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kern w:val="0"/>
                <w:sz w:val="18"/>
                <w:lang w:val="sr-Latn-RS" w:eastAsia="sr-Latn-RS"/>
                <w14:ligatures w14:val="none"/>
              </w:rPr>
            </w:pPr>
            <w:r>
              <w:rPr>
                <w:rFonts w:cs="Calibri"/>
              </w:rPr>
              <w:t>17</w:t>
            </w:r>
          </w:p>
        </w:tc>
        <w:tc>
          <w:tcPr>
            <w:tcW w:w="970"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45</w:t>
            </w:r>
          </w:p>
        </w:tc>
        <w:tc>
          <w:tcPr>
            <w:tcW w:w="7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26</w:t>
            </w:r>
          </w:p>
        </w:tc>
        <w:tc>
          <w:tcPr>
            <w:tcW w:w="796"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11</w:t>
            </w:r>
          </w:p>
        </w:tc>
        <w:tc>
          <w:tcPr>
            <w:tcW w:w="967"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37</w:t>
            </w:r>
          </w:p>
        </w:tc>
        <w:tc>
          <w:tcPr>
            <w:tcW w:w="78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12</w:t>
            </w:r>
          </w:p>
        </w:tc>
        <w:tc>
          <w:tcPr>
            <w:tcW w:w="785"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13</w:t>
            </w:r>
          </w:p>
        </w:tc>
        <w:tc>
          <w:tcPr>
            <w:tcW w:w="969"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25</w:t>
            </w:r>
          </w:p>
        </w:tc>
      </w:tr>
      <w:tr>
        <w:trPr>
          <w:trHeight w:val="290" w:hRule="atLeast"/>
        </w:trPr>
        <w:tc>
          <w:tcPr>
            <w:tcW w:w="1841" w:type="dxa"/>
            <w:tcBorders>
              <w:start w:val="single" w:sz="4" w:space="0" w:color="000000"/>
              <w:bottom w:val="single" w:sz="4" w:space="0" w:color="000000"/>
              <w:end w:val="single" w:sz="4" w:space="0" w:color="000000"/>
            </w:tcBorders>
            <w:shd w:color="auto" w:fill="auto" w:val="clea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3 - 5</w:t>
            </w:r>
          </w:p>
        </w:tc>
        <w:tc>
          <w:tcPr>
            <w:tcW w:w="853"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kern w:val="0"/>
                <w:sz w:val="18"/>
                <w:lang w:val="sr-Latn-RS" w:eastAsia="sr-Latn-RS"/>
                <w14:ligatures w14:val="none"/>
              </w:rPr>
            </w:pPr>
            <w:r>
              <w:rPr>
                <w:rFonts w:cs="Calibri"/>
              </w:rPr>
              <w:t>32</w:t>
            </w:r>
          </w:p>
        </w:tc>
        <w:tc>
          <w:tcPr>
            <w:tcW w:w="59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kern w:val="0"/>
                <w:sz w:val="18"/>
                <w:lang w:val="sr-Latn-RS" w:eastAsia="sr-Latn-RS"/>
                <w14:ligatures w14:val="none"/>
              </w:rPr>
            </w:pPr>
            <w:r>
              <w:rPr>
                <w:rFonts w:cs="Calibri"/>
              </w:rPr>
              <w:t>38</w:t>
            </w:r>
          </w:p>
        </w:tc>
        <w:tc>
          <w:tcPr>
            <w:tcW w:w="97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70</w:t>
            </w:r>
          </w:p>
        </w:tc>
        <w:tc>
          <w:tcPr>
            <w:tcW w:w="787"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32</w:t>
            </w:r>
          </w:p>
        </w:tc>
        <w:tc>
          <w:tcPr>
            <w:tcW w:w="79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27</w:t>
            </w:r>
          </w:p>
        </w:tc>
        <w:tc>
          <w:tcPr>
            <w:tcW w:w="9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59</w:t>
            </w:r>
          </w:p>
        </w:tc>
        <w:tc>
          <w:tcPr>
            <w:tcW w:w="788"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31</w:t>
            </w:r>
          </w:p>
        </w:tc>
        <w:tc>
          <w:tcPr>
            <w:tcW w:w="78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13</w:t>
            </w:r>
          </w:p>
        </w:tc>
        <w:tc>
          <w:tcPr>
            <w:tcW w:w="969"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44</w:t>
            </w:r>
          </w:p>
        </w:tc>
      </w:tr>
      <w:tr>
        <w:trPr>
          <w:trHeight w:val="290" w:hRule="atLeast"/>
        </w:trPr>
        <w:tc>
          <w:tcPr>
            <w:tcW w:w="1841" w:type="dxa"/>
            <w:tcBorders>
              <w:start w:val="single" w:sz="4" w:space="0" w:color="000000"/>
              <w:bottom w:val="single" w:sz="4" w:space="0" w:color="000000"/>
              <w:end w:val="single" w:sz="4" w:space="0" w:color="000000"/>
            </w:tcBorders>
            <w:shd w:color="auto" w:fill="auto" w:val="clea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6 - 14</w:t>
            </w:r>
          </w:p>
        </w:tc>
        <w:tc>
          <w:tcPr>
            <w:tcW w:w="853"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kern w:val="0"/>
                <w:sz w:val="18"/>
                <w:lang w:val="sr-Latn-RS" w:eastAsia="sr-Latn-RS"/>
                <w14:ligatures w14:val="none"/>
              </w:rPr>
            </w:pPr>
            <w:r>
              <w:rPr>
                <w:rFonts w:cs="Calibri"/>
              </w:rPr>
              <w:t>132</w:t>
            </w:r>
          </w:p>
        </w:tc>
        <w:tc>
          <w:tcPr>
            <w:tcW w:w="59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kern w:val="0"/>
                <w:sz w:val="18"/>
                <w:lang w:val="sr-Latn-RS" w:eastAsia="sr-Latn-RS"/>
                <w14:ligatures w14:val="none"/>
              </w:rPr>
            </w:pPr>
            <w:r>
              <w:rPr>
                <w:rFonts w:cs="Calibri"/>
              </w:rPr>
              <w:t>130</w:t>
            </w:r>
          </w:p>
        </w:tc>
        <w:tc>
          <w:tcPr>
            <w:tcW w:w="97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262</w:t>
            </w:r>
          </w:p>
        </w:tc>
        <w:tc>
          <w:tcPr>
            <w:tcW w:w="787"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137</w:t>
            </w:r>
          </w:p>
        </w:tc>
        <w:tc>
          <w:tcPr>
            <w:tcW w:w="79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132</w:t>
            </w:r>
          </w:p>
        </w:tc>
        <w:tc>
          <w:tcPr>
            <w:tcW w:w="9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269</w:t>
            </w:r>
          </w:p>
        </w:tc>
        <w:tc>
          <w:tcPr>
            <w:tcW w:w="788"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120</w:t>
            </w:r>
          </w:p>
        </w:tc>
        <w:tc>
          <w:tcPr>
            <w:tcW w:w="78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95</w:t>
            </w:r>
          </w:p>
        </w:tc>
        <w:tc>
          <w:tcPr>
            <w:tcW w:w="969"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215</w:t>
            </w:r>
          </w:p>
        </w:tc>
      </w:tr>
      <w:tr>
        <w:trPr>
          <w:trHeight w:val="290" w:hRule="atLeast"/>
        </w:trPr>
        <w:tc>
          <w:tcPr>
            <w:tcW w:w="1841" w:type="dxa"/>
            <w:tcBorders>
              <w:start w:val="single" w:sz="4" w:space="0" w:color="000000"/>
              <w:bottom w:val="single" w:sz="4" w:space="0" w:color="000000"/>
              <w:end w:val="single" w:sz="4" w:space="0" w:color="000000"/>
            </w:tcBorders>
            <w:shd w:color="auto" w:fill="auto" w:val="clea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15-17</w:t>
            </w:r>
          </w:p>
        </w:tc>
        <w:tc>
          <w:tcPr>
            <w:tcW w:w="853"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kern w:val="0"/>
                <w:sz w:val="18"/>
                <w:lang w:val="sr-Latn-RS" w:eastAsia="sr-Latn-RS"/>
                <w14:ligatures w14:val="none"/>
              </w:rPr>
            </w:pPr>
            <w:r>
              <w:rPr>
                <w:rFonts w:cs="Calibri"/>
              </w:rPr>
              <w:t>88</w:t>
            </w:r>
          </w:p>
        </w:tc>
        <w:tc>
          <w:tcPr>
            <w:tcW w:w="598"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kern w:val="0"/>
                <w:sz w:val="18"/>
                <w:lang w:val="sr-Latn-RS" w:eastAsia="sr-Latn-RS"/>
                <w14:ligatures w14:val="none"/>
              </w:rPr>
            </w:pPr>
            <w:r>
              <w:rPr>
                <w:rFonts w:cs="Calibri"/>
              </w:rPr>
              <w:t>65</w:t>
            </w:r>
          </w:p>
        </w:tc>
        <w:tc>
          <w:tcPr>
            <w:tcW w:w="97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153</w:t>
            </w:r>
          </w:p>
        </w:tc>
        <w:tc>
          <w:tcPr>
            <w:tcW w:w="787"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87</w:t>
            </w:r>
          </w:p>
        </w:tc>
        <w:tc>
          <w:tcPr>
            <w:tcW w:w="79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65</w:t>
            </w:r>
          </w:p>
        </w:tc>
        <w:tc>
          <w:tcPr>
            <w:tcW w:w="96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152</w:t>
            </w:r>
          </w:p>
        </w:tc>
        <w:tc>
          <w:tcPr>
            <w:tcW w:w="788"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80</w:t>
            </w:r>
          </w:p>
        </w:tc>
        <w:tc>
          <w:tcPr>
            <w:tcW w:w="78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rPr>
              <w:t>53</w:t>
            </w:r>
          </w:p>
        </w:tc>
        <w:tc>
          <w:tcPr>
            <w:tcW w:w="969"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bCs/>
                <w:kern w:val="0"/>
                <w:sz w:val="18"/>
                <w:lang w:val="sr-Latn-RS" w:eastAsia="sr-Latn-RS"/>
                <w14:ligatures w14:val="none"/>
              </w:rPr>
            </w:pPr>
            <w:r>
              <w:rPr>
                <w:rFonts w:cs="Calibri"/>
                <w:b/>
                <w:bCs/>
              </w:rPr>
              <w:t>133</w:t>
            </w:r>
          </w:p>
        </w:tc>
      </w:tr>
      <w:tr>
        <w:trPr>
          <w:trHeight w:val="290" w:hRule="atLeast"/>
        </w:trPr>
        <w:tc>
          <w:tcPr>
            <w:tcW w:w="1841" w:type="dxa"/>
            <w:tcBorders>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
                <w:b/>
                <w:bCs/>
                <w:kern w:val="0"/>
                <w:sz w:val="18"/>
                <w:lang w:val="sr-Latn-RS" w:eastAsia="sr-Latn-RS"/>
                <w14:ligatures w14:val="none"/>
              </w:rPr>
            </w:pPr>
            <w:r>
              <w:rPr>
                <w:rFonts w:eastAsia="Times New Roman" w:cs="Tahoma" w:ascii="Tahoma" w:hAnsi="Tahoma"/>
                <w:b/>
                <w:bCs/>
                <w:kern w:val="0"/>
                <w:sz w:val="18"/>
                <w:lang w:val="sr-Latn-RS" w:eastAsia="sr-Latn-RS"/>
                <w14:ligatures w14:val="none"/>
              </w:rPr>
              <w:t>Укупно</w:t>
            </w:r>
          </w:p>
        </w:tc>
        <w:tc>
          <w:tcPr>
            <w:tcW w:w="853" w:type="dxa"/>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kern w:val="0"/>
                <w:sz w:val="18"/>
                <w:lang w:val="sr-Latn-RS" w:eastAsia="sr-Latn-RS"/>
                <w14:ligatures w14:val="none"/>
              </w:rPr>
            </w:pPr>
            <w:r>
              <w:rPr>
                <w:rFonts w:cs="Calibri"/>
                <w:b/>
                <w:bCs/>
              </w:rPr>
              <w:t>280</w:t>
            </w:r>
          </w:p>
        </w:tc>
        <w:tc>
          <w:tcPr>
            <w:tcW w:w="598"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kern w:val="0"/>
                <w:sz w:val="18"/>
                <w:lang w:val="sr-Latn-RS" w:eastAsia="sr-Latn-RS"/>
                <w14:ligatures w14:val="none"/>
              </w:rPr>
            </w:pPr>
            <w:r>
              <w:rPr>
                <w:rFonts w:cs="Calibri"/>
                <w:b/>
                <w:bCs/>
              </w:rPr>
              <w:t>250</w:t>
            </w:r>
          </w:p>
        </w:tc>
        <w:tc>
          <w:tcPr>
            <w:tcW w:w="970"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kern w:val="0"/>
                <w:sz w:val="18"/>
                <w:lang w:val="sr-Latn-RS" w:eastAsia="sr-Latn-RS"/>
                <w14:ligatures w14:val="none"/>
              </w:rPr>
            </w:pPr>
            <w:r>
              <w:rPr>
                <w:rFonts w:cs="Calibri"/>
                <w:b/>
                <w:bCs/>
              </w:rPr>
              <w:t>530</w:t>
            </w:r>
          </w:p>
        </w:tc>
        <w:tc>
          <w:tcPr>
            <w:tcW w:w="787" w:type="dxa"/>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kern w:val="0"/>
                <w:sz w:val="18"/>
                <w:lang w:val="sr-Latn-RS" w:eastAsia="sr-Latn-RS"/>
                <w14:ligatures w14:val="none"/>
              </w:rPr>
            </w:pPr>
            <w:r>
              <w:rPr>
                <w:rFonts w:cs="Calibri"/>
                <w:b/>
                <w:bCs/>
              </w:rPr>
              <w:t>282</w:t>
            </w:r>
          </w:p>
        </w:tc>
        <w:tc>
          <w:tcPr>
            <w:tcW w:w="79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kern w:val="0"/>
                <w:sz w:val="18"/>
                <w:lang w:val="sr-Latn-RS" w:eastAsia="sr-Latn-RS"/>
                <w14:ligatures w14:val="none"/>
              </w:rPr>
            </w:pPr>
            <w:r>
              <w:rPr>
                <w:rFonts w:cs="Calibri"/>
                <w:b/>
                <w:bCs/>
              </w:rPr>
              <w:t>235</w:t>
            </w:r>
          </w:p>
        </w:tc>
        <w:tc>
          <w:tcPr>
            <w:tcW w:w="967"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kern w:val="0"/>
                <w:sz w:val="18"/>
                <w:lang w:val="sr-Latn-RS" w:eastAsia="sr-Latn-RS"/>
                <w14:ligatures w14:val="none"/>
              </w:rPr>
            </w:pPr>
            <w:r>
              <w:rPr>
                <w:rFonts w:cs="Calibri"/>
                <w:b/>
                <w:bCs/>
              </w:rPr>
              <w:t>517</w:t>
            </w:r>
          </w:p>
        </w:tc>
        <w:tc>
          <w:tcPr>
            <w:tcW w:w="788" w:type="dxa"/>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kern w:val="0"/>
                <w:sz w:val="18"/>
                <w:lang w:val="sr-Latn-RS" w:eastAsia="sr-Latn-RS"/>
                <w14:ligatures w14:val="none"/>
              </w:rPr>
            </w:pPr>
            <w:r>
              <w:rPr>
                <w:rFonts w:cs="Calibri"/>
                <w:b/>
                <w:bCs/>
              </w:rPr>
              <w:t>243</w:t>
            </w:r>
          </w:p>
        </w:tc>
        <w:tc>
          <w:tcPr>
            <w:tcW w:w="785"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kern w:val="0"/>
                <w:sz w:val="18"/>
                <w:lang w:val="sr-Latn-RS" w:eastAsia="sr-Latn-RS"/>
                <w14:ligatures w14:val="none"/>
              </w:rPr>
            </w:pPr>
            <w:r>
              <w:rPr>
                <w:rFonts w:cs="Calibri"/>
                <w:b/>
                <w:bCs/>
              </w:rPr>
              <w:t>174</w:t>
            </w:r>
          </w:p>
        </w:tc>
        <w:tc>
          <w:tcPr>
            <w:tcW w:w="969"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kern w:val="0"/>
                <w:sz w:val="18"/>
                <w:lang w:val="sr-Latn-RS" w:eastAsia="sr-Latn-RS"/>
                <w14:ligatures w14:val="none"/>
              </w:rPr>
            </w:pPr>
            <w:r>
              <w:rPr>
                <w:rFonts w:cs="Calibri"/>
                <w:b/>
                <w:bCs/>
              </w:rPr>
              <w:t>417</w:t>
            </w:r>
          </w:p>
        </w:tc>
      </w:tr>
    </w:tbl>
    <w:p>
      <w:pPr>
        <w:pStyle w:val="Normal"/>
        <w:jc w:val="end"/>
        <w:rPr>
          <w:rFonts w:ascii="Tahoma" w:hAnsi="Tahoma" w:eastAsia="Times New Roman" w:cs="Tahoma"/>
          <w:bCs/>
          <w:i/>
          <w:i/>
          <w:iCs/>
          <w:sz w:val="18"/>
          <w:szCs w:val="18"/>
          <w:shd w:fill="FFFFFF" w:val="clear"/>
          <w:lang w:val="sr-RS"/>
        </w:rPr>
      </w:pPr>
      <w:r>
        <w:rPr>
          <w:rFonts w:eastAsia="Times New Roman" w:cs="Tahoma" w:ascii="Tahoma" w:hAnsi="Tahoma"/>
          <w:bCs/>
          <w:i/>
          <w:iCs/>
          <w:sz w:val="18"/>
          <w:szCs w:val="18"/>
          <w:lang w:val="sr-RS"/>
        </w:rPr>
        <w:t xml:space="preserve">Извор: </w:t>
      </w:r>
      <w:r>
        <w:rPr>
          <w:rFonts w:eastAsia="Times New Roman" w:cs="Tahoma" w:ascii="Tahoma" w:hAnsi="Tahoma"/>
          <w:bCs/>
          <w:i/>
          <w:iCs/>
          <w:sz w:val="18"/>
          <w:szCs w:val="18"/>
          <w:shd w:fill="FFFFFF" w:val="clear"/>
          <w:lang w:val="sr-RS"/>
        </w:rPr>
        <w:t>Годишњи извештај Центра за социјални рад за 2021, 2022, 2023.годину.</w:t>
      </w:r>
    </w:p>
    <w:p>
      <w:pPr>
        <w:pStyle w:val="Normal"/>
        <w:jc w:val="center"/>
        <w:rPr>
          <w:rFonts w:ascii="Tahoma" w:hAnsi="Tahoma" w:cs="Tahoma"/>
          <w:lang w:val="sr-RS"/>
        </w:rPr>
      </w:pPr>
      <w:r>
        <w:rPr>
          <w:rFonts w:cs="Tahoma" w:ascii="Tahoma" w:hAnsi="Tahoma"/>
          <w:lang w:val="sr-RS"/>
        </w:rPr>
      </w:r>
    </w:p>
    <w:p>
      <w:pPr>
        <w:pStyle w:val="Normal"/>
        <w:spacing w:before="0" w:after="0"/>
        <w:rPr>
          <w:rFonts w:ascii="Tahoma" w:hAnsi="Tahoma" w:eastAsia="Times New Roman" w:cs="Tahoma"/>
          <w:sz w:val="18"/>
          <w:szCs w:val="18"/>
          <w:lang w:val="sr-RS"/>
        </w:rPr>
      </w:pPr>
      <w:r>
        <w:rPr>
          <w:rFonts w:eastAsia="Times New Roman" w:cs="Tahoma" w:ascii="Tahoma" w:hAnsi="Tahoma"/>
          <w:sz w:val="18"/>
          <w:szCs w:val="18"/>
          <w:lang w:val="sr-RS"/>
        </w:rPr>
        <w:t>Табела 7.4. Тренд броја деце у евиденцији ЦСР према корисничким групама/поступцима и узрасту</w:t>
      </w:r>
    </w:p>
    <w:tbl>
      <w:tblPr>
        <w:tblW w:w="10526" w:type="dxa"/>
        <w:jc w:val="start"/>
        <w:tblInd w:w="-714" w:type="dxa"/>
        <w:tblLayout w:type="fixed"/>
        <w:tblCellMar>
          <w:top w:w="0" w:type="dxa"/>
          <w:start w:w="108" w:type="dxa"/>
          <w:bottom w:w="0" w:type="dxa"/>
          <w:end w:w="108" w:type="dxa"/>
        </w:tblCellMar>
        <w:tblLook w:firstRow="1" w:noVBand="1" w:lastRow="0" w:firstColumn="1" w:lastColumn="0" w:noHBand="0" w:val="04a0"/>
      </w:tblPr>
      <w:tblGrid>
        <w:gridCol w:w="2266"/>
        <w:gridCol w:w="461"/>
        <w:gridCol w:w="773"/>
        <w:gridCol w:w="555"/>
        <w:gridCol w:w="563"/>
        <w:gridCol w:w="724"/>
        <w:gridCol w:w="444"/>
        <w:gridCol w:w="440"/>
        <w:gridCol w:w="555"/>
        <w:gridCol w:w="556"/>
        <w:gridCol w:w="556"/>
        <w:gridCol w:w="442"/>
        <w:gridCol w:w="557"/>
        <w:gridCol w:w="557"/>
        <w:gridCol w:w="551"/>
        <w:gridCol w:w="523"/>
      </w:tblGrid>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vAlign w:val="center"/>
          </w:tcPr>
          <w:p>
            <w:pPr>
              <w:pStyle w:val="Normal"/>
              <w:widowControl w:val="false"/>
              <w:spacing w:lineRule="auto" w:line="240" w:before="0" w:after="0"/>
              <w:rPr>
                <w:rFonts w:ascii="Tahoma" w:hAnsi="Tahoma" w:eastAsia="Times New Roman" w:cs="Tahoma"/>
                <w:bCs/>
                <w:sz w:val="18"/>
                <w:szCs w:val="18"/>
                <w:lang w:val="sr-RS" w:eastAsia="sr-Latn-RS"/>
              </w:rPr>
            </w:pPr>
            <w:r>
              <w:rPr>
                <w:rFonts w:eastAsia="Times New Roman" w:cs="Tahoma" w:ascii="Tahoma" w:hAnsi="Tahoma"/>
                <w:bCs/>
                <w:sz w:val="18"/>
                <w:szCs w:val="18"/>
                <w:lang w:val="sr-RS" w:eastAsia="sr-Latn-RS"/>
              </w:rPr>
            </w:r>
          </w:p>
        </w:tc>
        <w:tc>
          <w:tcPr>
            <w:tcW w:w="3076" w:type="dxa"/>
            <w:gridSpan w:val="5"/>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jc w:val="center"/>
              <w:rPr>
                <w:rFonts w:ascii="Tahoma" w:hAnsi="Tahoma" w:eastAsia="Times New Roman" w:cs="Tahoma"/>
                <w:b/>
                <w:b/>
                <w:bCs/>
                <w:sz w:val="18"/>
                <w:szCs w:val="18"/>
                <w:lang w:val="sr-RS" w:eastAsia="sr-Latn-RS"/>
              </w:rPr>
            </w:pPr>
            <w:r>
              <w:rPr>
                <w:rFonts w:eastAsia="Times New Roman" w:cs="Tahoma" w:ascii="Tahoma" w:hAnsi="Tahoma"/>
                <w:b/>
                <w:bCs/>
                <w:sz w:val="18"/>
                <w:szCs w:val="18"/>
                <w:lang w:val="sr-RS" w:eastAsia="sr-Latn-RS"/>
              </w:rPr>
              <w:t>2021</w:t>
            </w:r>
          </w:p>
        </w:tc>
        <w:tc>
          <w:tcPr>
            <w:tcW w:w="2551" w:type="dxa"/>
            <w:gridSpan w:val="5"/>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jc w:val="center"/>
              <w:rPr>
                <w:rFonts w:ascii="Tahoma" w:hAnsi="Tahoma" w:eastAsia="Times New Roman" w:cs="Tahoma"/>
                <w:b/>
                <w:b/>
                <w:bCs/>
                <w:sz w:val="18"/>
                <w:szCs w:val="18"/>
                <w:lang w:val="sr-RS" w:eastAsia="sr-Latn-RS"/>
              </w:rPr>
            </w:pPr>
            <w:r>
              <w:rPr>
                <w:rFonts w:eastAsia="Times New Roman" w:cs="Tahoma" w:ascii="Tahoma" w:hAnsi="Tahoma"/>
                <w:b/>
                <w:bCs/>
                <w:sz w:val="18"/>
                <w:szCs w:val="18"/>
                <w:lang w:val="sr-RS" w:eastAsia="sr-Latn-RS"/>
              </w:rPr>
              <w:t>2022</w:t>
            </w:r>
          </w:p>
        </w:tc>
        <w:tc>
          <w:tcPr>
            <w:tcW w:w="2630" w:type="dxa"/>
            <w:gridSpan w:val="5"/>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jc w:val="center"/>
              <w:rPr>
                <w:rFonts w:ascii="Tahoma" w:hAnsi="Tahoma" w:eastAsia="Times New Roman" w:cs="Tahoma"/>
                <w:b/>
                <w:b/>
                <w:bCs/>
                <w:sz w:val="18"/>
                <w:szCs w:val="18"/>
                <w:lang w:val="sr-RS" w:eastAsia="sr-Latn-RS"/>
              </w:rPr>
            </w:pPr>
            <w:r>
              <w:rPr>
                <w:rFonts w:eastAsia="Times New Roman" w:cs="Tahoma" w:ascii="Tahoma" w:hAnsi="Tahoma"/>
                <w:b/>
                <w:bCs/>
                <w:sz w:val="18"/>
                <w:szCs w:val="18"/>
                <w:lang w:val="sr-RS" w:eastAsia="sr-Latn-RS"/>
              </w:rPr>
              <w:t>2023</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vAlign w:val="cente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r>
          </w:p>
        </w:tc>
        <w:tc>
          <w:tcPr>
            <w:tcW w:w="2352" w:type="dxa"/>
            <w:gridSpan w:val="4"/>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Узраст</w:t>
            </w:r>
          </w:p>
        </w:tc>
        <w:tc>
          <w:tcPr>
            <w:tcW w:w="724" w:type="dxa"/>
            <w:vMerge w:val="restart"/>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vAlign w:val="center"/>
          </w:tcPr>
          <w:p>
            <w:pPr>
              <w:pStyle w:val="Normal"/>
              <w:widowControl w:val="false"/>
              <w:spacing w:lineRule="auto" w:line="240" w:before="0" w:after="0"/>
              <w:ind w:start="113" w:end="113" w:hanging="0"/>
              <w:jc w:val="center"/>
              <w:rPr>
                <w:rFonts w:ascii="Tahoma" w:hAnsi="Tahoma" w:eastAsia="Times New Roman" w:cs="Tahoma"/>
                <w:b/>
                <w:b/>
                <w:bCs/>
                <w:sz w:val="18"/>
                <w:szCs w:val="18"/>
                <w:lang w:val="sr-RS" w:eastAsia="sr-Latn-RS"/>
              </w:rPr>
            </w:pPr>
            <w:r>
              <w:rPr>
                <w:rFonts w:eastAsia="Times New Roman" w:cs="Tahoma" w:ascii="Tahoma" w:hAnsi="Tahoma"/>
                <w:b/>
                <w:bCs/>
                <w:sz w:val="18"/>
                <w:szCs w:val="18"/>
                <w:lang w:eastAsia="sr-Latn-RS"/>
              </w:rPr>
              <w:t>Ук</w:t>
            </w:r>
            <w:r>
              <w:rPr>
                <w:rFonts w:eastAsia="Times New Roman" w:cs="Tahoma" w:ascii="Tahoma" w:hAnsi="Tahoma"/>
                <w:b/>
                <w:bCs/>
                <w:sz w:val="18"/>
                <w:szCs w:val="18"/>
                <w:lang w:val="sr-RS" w:eastAsia="sr-Latn-RS"/>
              </w:rPr>
              <w:t>упно</w:t>
            </w:r>
          </w:p>
        </w:tc>
        <w:tc>
          <w:tcPr>
            <w:tcW w:w="1995" w:type="dxa"/>
            <w:gridSpan w:val="4"/>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Узраст</w:t>
            </w:r>
          </w:p>
        </w:tc>
        <w:tc>
          <w:tcPr>
            <w:tcW w:w="556" w:type="dxa"/>
            <w:vMerge w:val="restart"/>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val="sr-RS" w:eastAsia="sr-Latn-RS"/>
              </w:rPr>
            </w:pPr>
            <w:r>
              <w:rPr>
                <w:rFonts w:eastAsia="Times New Roman" w:cs="Tahoma" w:ascii="Tahoma" w:hAnsi="Tahoma"/>
                <w:b/>
                <w:bCs/>
                <w:sz w:val="18"/>
                <w:szCs w:val="18"/>
                <w:lang w:eastAsia="sr-Latn-RS"/>
              </w:rPr>
              <w:t>Ук</w:t>
            </w:r>
            <w:r>
              <w:rPr>
                <w:rFonts w:eastAsia="Times New Roman" w:cs="Tahoma" w:ascii="Tahoma" w:hAnsi="Tahoma"/>
                <w:b/>
                <w:bCs/>
                <w:sz w:val="18"/>
                <w:szCs w:val="18"/>
                <w:lang w:val="sr-RS" w:eastAsia="sr-Latn-RS"/>
              </w:rPr>
              <w:t>упно</w:t>
            </w:r>
          </w:p>
        </w:tc>
        <w:tc>
          <w:tcPr>
            <w:tcW w:w="2107" w:type="dxa"/>
            <w:gridSpan w:val="4"/>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Узраст</w:t>
            </w:r>
          </w:p>
        </w:tc>
        <w:tc>
          <w:tcPr>
            <w:tcW w:w="523" w:type="dxa"/>
            <w:vMerge w:val="restart"/>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rPr>
                <w:rFonts w:ascii="Tahoma" w:hAnsi="Tahoma" w:eastAsia="Times New Roman" w:cs="Tahoma"/>
                <w:b/>
                <w:b/>
                <w:bCs/>
                <w:sz w:val="18"/>
                <w:szCs w:val="18"/>
                <w:lang w:val="sr-RS" w:eastAsia="sr-Latn-RS"/>
              </w:rPr>
            </w:pPr>
            <w:r>
              <w:rPr>
                <w:rFonts w:eastAsia="Times New Roman" w:cs="Tahoma" w:ascii="Tahoma" w:hAnsi="Tahoma"/>
                <w:b/>
                <w:bCs/>
                <w:sz w:val="18"/>
                <w:szCs w:val="18"/>
                <w:lang w:val="sr-RS" w:eastAsia="sr-Latn-RS"/>
              </w:rPr>
              <w:t xml:space="preserve">   </w:t>
            </w:r>
            <w:r>
              <w:rPr>
                <w:rFonts w:eastAsia="Times New Roman" w:cs="Tahoma" w:ascii="Tahoma" w:hAnsi="Tahoma"/>
                <w:b/>
                <w:bCs/>
                <w:sz w:val="18"/>
                <w:szCs w:val="18"/>
                <w:lang w:val="sr-RS" w:eastAsia="sr-Latn-RS"/>
              </w:rPr>
              <w:t>Укупно</w:t>
            </w:r>
          </w:p>
        </w:tc>
      </w:tr>
      <w:tr>
        <w:trPr>
          <w:trHeight w:val="1134" w:hRule="atLeast"/>
          <w:cantSplit w:val="true"/>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Корисничке групе</w:t>
            </w:r>
          </w:p>
        </w:tc>
        <w:tc>
          <w:tcPr>
            <w:tcW w:w="461"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0</w:t>
            </w:r>
            <w:r>
              <w:rPr>
                <w:rFonts w:eastAsia="Times New Roman" w:cs="Tahoma" w:ascii="Tahoma" w:hAnsi="Tahoma"/>
                <w:b/>
                <w:bCs/>
                <w:sz w:val="18"/>
                <w:szCs w:val="18"/>
                <w:lang w:val="sr-RS" w:eastAsia="sr-Latn-RS"/>
              </w:rPr>
              <w:t>-2</w:t>
            </w:r>
          </w:p>
        </w:tc>
        <w:tc>
          <w:tcPr>
            <w:tcW w:w="773"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3</w:t>
            </w:r>
            <w:r>
              <w:rPr>
                <w:rFonts w:eastAsia="Times New Roman" w:cs="Tahoma" w:ascii="Tahoma" w:hAnsi="Tahoma"/>
                <w:b/>
                <w:bCs/>
                <w:sz w:val="18"/>
                <w:szCs w:val="18"/>
                <w:lang w:val="sr-RS" w:eastAsia="sr-Latn-RS"/>
              </w:rPr>
              <w:t>-5</w:t>
            </w:r>
          </w:p>
        </w:tc>
        <w:tc>
          <w:tcPr>
            <w:tcW w:w="555"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6-</w:t>
            </w:r>
            <w:r>
              <w:rPr>
                <w:rFonts w:eastAsia="Times New Roman" w:cs="Tahoma" w:ascii="Tahoma" w:hAnsi="Tahoma"/>
                <w:b/>
                <w:bCs/>
                <w:sz w:val="18"/>
                <w:szCs w:val="18"/>
                <w:lang w:val="sr-RS" w:eastAsia="sr-Latn-RS"/>
              </w:rPr>
              <w:t>1</w:t>
            </w:r>
            <w:r>
              <w:rPr>
                <w:rFonts w:eastAsia="Times New Roman" w:cs="Tahoma" w:ascii="Tahoma" w:hAnsi="Tahoma"/>
                <w:b/>
                <w:bCs/>
                <w:sz w:val="18"/>
                <w:szCs w:val="18"/>
                <w:lang w:eastAsia="sr-Latn-RS"/>
              </w:rPr>
              <w:t>4</w:t>
            </w:r>
          </w:p>
        </w:tc>
        <w:tc>
          <w:tcPr>
            <w:tcW w:w="563"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15-17</w:t>
            </w:r>
          </w:p>
        </w:tc>
        <w:tc>
          <w:tcPr>
            <w:tcW w:w="724" w:type="dxa"/>
            <w:vMerge w:val="continue"/>
            <w:tcBorders>
              <w:top w:val="single" w:sz="4" w:space="0" w:color="000000"/>
              <w:start w:val="single" w:sz="4" w:space="0" w:color="000000"/>
              <w:bottom w:val="single" w:sz="4" w:space="0" w:color="000000"/>
              <w:end w:val="single" w:sz="4" w:space="0" w:color="000000"/>
            </w:tcBorders>
            <w:shd w:color="auto" w:fill="D9E2F3" w:themeFill="accent1" w:themeFillTint="33" w:val="clear"/>
            <w:vAlign w:val="center"/>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444"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0</w:t>
            </w:r>
            <w:r>
              <w:rPr>
                <w:rFonts w:eastAsia="Times New Roman" w:cs="Tahoma" w:ascii="Tahoma" w:hAnsi="Tahoma"/>
                <w:b/>
                <w:bCs/>
                <w:sz w:val="18"/>
                <w:szCs w:val="18"/>
                <w:lang w:val="sr-RS" w:eastAsia="sr-Latn-RS"/>
              </w:rPr>
              <w:t>-2</w:t>
            </w:r>
          </w:p>
        </w:tc>
        <w:tc>
          <w:tcPr>
            <w:tcW w:w="440"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3</w:t>
            </w:r>
            <w:r>
              <w:rPr>
                <w:rFonts w:eastAsia="Times New Roman" w:cs="Tahoma" w:ascii="Tahoma" w:hAnsi="Tahoma"/>
                <w:b/>
                <w:bCs/>
                <w:sz w:val="18"/>
                <w:szCs w:val="18"/>
                <w:lang w:val="sr-RS" w:eastAsia="sr-Latn-RS"/>
              </w:rPr>
              <w:t>-5</w:t>
            </w:r>
          </w:p>
        </w:tc>
        <w:tc>
          <w:tcPr>
            <w:tcW w:w="555"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6-</w:t>
            </w:r>
            <w:r>
              <w:rPr>
                <w:rFonts w:eastAsia="Times New Roman" w:cs="Tahoma" w:ascii="Tahoma" w:hAnsi="Tahoma"/>
                <w:b/>
                <w:bCs/>
                <w:sz w:val="18"/>
                <w:szCs w:val="18"/>
                <w:lang w:val="sr-RS" w:eastAsia="sr-Latn-RS"/>
              </w:rPr>
              <w:t>1</w:t>
            </w:r>
            <w:r>
              <w:rPr>
                <w:rFonts w:eastAsia="Times New Roman" w:cs="Tahoma" w:ascii="Tahoma" w:hAnsi="Tahoma"/>
                <w:b/>
                <w:bCs/>
                <w:sz w:val="18"/>
                <w:szCs w:val="18"/>
                <w:lang w:eastAsia="sr-Latn-RS"/>
              </w:rPr>
              <w:t>4</w:t>
            </w:r>
          </w:p>
        </w:tc>
        <w:tc>
          <w:tcPr>
            <w:tcW w:w="55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15-17</w:t>
            </w:r>
          </w:p>
        </w:tc>
        <w:tc>
          <w:tcPr>
            <w:tcW w:w="556" w:type="dxa"/>
            <w:vMerge w:val="continue"/>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
                <w:b/>
                <w:bCs/>
                <w:sz w:val="18"/>
                <w:szCs w:val="18"/>
                <w:lang w:val="sr-RS" w:eastAsia="sr-Latn-RS"/>
              </w:rPr>
            </w:pPr>
            <w:r>
              <w:rPr>
                <w:rFonts w:eastAsia="Times New Roman" w:cs="Tahoma" w:ascii="Tahoma" w:hAnsi="Tahoma"/>
                <w:b/>
                <w:bCs/>
                <w:sz w:val="18"/>
                <w:szCs w:val="18"/>
                <w:lang w:val="sr-RS" w:eastAsia="sr-Latn-RS"/>
              </w:rPr>
            </w:r>
          </w:p>
        </w:tc>
        <w:tc>
          <w:tcPr>
            <w:tcW w:w="442"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0</w:t>
            </w:r>
            <w:r>
              <w:rPr>
                <w:rFonts w:eastAsia="Times New Roman" w:cs="Tahoma" w:ascii="Tahoma" w:hAnsi="Tahoma"/>
                <w:b/>
                <w:bCs/>
                <w:sz w:val="18"/>
                <w:szCs w:val="18"/>
                <w:lang w:val="sr-RS" w:eastAsia="sr-Latn-RS"/>
              </w:rPr>
              <w:t>-2</w:t>
            </w:r>
          </w:p>
        </w:tc>
        <w:tc>
          <w:tcPr>
            <w:tcW w:w="557"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3</w:t>
            </w:r>
            <w:r>
              <w:rPr>
                <w:rFonts w:eastAsia="Times New Roman" w:cs="Tahoma" w:ascii="Tahoma" w:hAnsi="Tahoma"/>
                <w:b/>
                <w:bCs/>
                <w:sz w:val="18"/>
                <w:szCs w:val="18"/>
                <w:lang w:val="sr-RS" w:eastAsia="sr-Latn-RS"/>
              </w:rPr>
              <w:t>-5</w:t>
            </w:r>
          </w:p>
        </w:tc>
        <w:tc>
          <w:tcPr>
            <w:tcW w:w="557"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6-</w:t>
            </w:r>
            <w:r>
              <w:rPr>
                <w:rFonts w:eastAsia="Times New Roman" w:cs="Tahoma" w:ascii="Tahoma" w:hAnsi="Tahoma"/>
                <w:b/>
                <w:bCs/>
                <w:sz w:val="18"/>
                <w:szCs w:val="18"/>
                <w:lang w:val="sr-RS" w:eastAsia="sr-Latn-RS"/>
              </w:rPr>
              <w:t>1</w:t>
            </w:r>
            <w:r>
              <w:rPr>
                <w:rFonts w:eastAsia="Times New Roman" w:cs="Tahoma" w:ascii="Tahoma" w:hAnsi="Tahoma"/>
                <w:b/>
                <w:bCs/>
                <w:sz w:val="18"/>
                <w:szCs w:val="18"/>
                <w:lang w:eastAsia="sr-Latn-RS"/>
              </w:rPr>
              <w:t>4</w:t>
            </w:r>
          </w:p>
        </w:tc>
        <w:tc>
          <w:tcPr>
            <w:tcW w:w="551"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15-17</w:t>
            </w:r>
          </w:p>
        </w:tc>
        <w:tc>
          <w:tcPr>
            <w:tcW w:w="523" w:type="dxa"/>
            <w:vMerge w:val="continue"/>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
                <w:b/>
                <w:bCs/>
                <w:sz w:val="18"/>
                <w:szCs w:val="18"/>
                <w:lang w:val="sr-RS" w:eastAsia="sr-Latn-RS"/>
              </w:rPr>
            </w:pPr>
            <w:r>
              <w:rPr>
                <w:rFonts w:eastAsia="Times New Roman" w:cs="Tahoma" w:ascii="Tahoma" w:hAnsi="Tahoma"/>
                <w:b/>
                <w:bCs/>
                <w:sz w:val="18"/>
                <w:szCs w:val="18"/>
                <w:lang w:val="sr-RS" w:eastAsia="sr-Latn-RS"/>
              </w:rPr>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под старатељством</w:t>
            </w:r>
            <w:r>
              <w:rPr>
                <w:rStyle w:val="FootnoteAnchor"/>
                <w:rFonts w:eastAsia="Times New Roman" w:cs="Tahoma" w:ascii="Tahoma" w:hAnsi="Tahoma"/>
                <w:bCs/>
                <w:sz w:val="18"/>
                <w:szCs w:val="18"/>
                <w:lang w:eastAsia="sr-Latn-RS"/>
              </w:rPr>
              <w:footnoteReference w:id="87"/>
            </w:r>
          </w:p>
        </w:tc>
        <w:tc>
          <w:tcPr>
            <w:tcW w:w="461"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73"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w:t>
            </w:r>
          </w:p>
        </w:tc>
        <w:tc>
          <w:tcPr>
            <w:tcW w:w="555"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13</w:t>
            </w:r>
          </w:p>
        </w:tc>
        <w:tc>
          <w:tcPr>
            <w:tcW w:w="563"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12</w:t>
            </w:r>
          </w:p>
        </w:tc>
        <w:tc>
          <w:tcPr>
            <w:tcW w:w="724" w:type="dxa"/>
            <w:tcBorders>
              <w:top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26</w:t>
            </w:r>
          </w:p>
        </w:tc>
        <w:tc>
          <w:tcPr>
            <w:tcW w:w="444"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440"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5"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14</w:t>
            </w:r>
          </w:p>
        </w:tc>
        <w:tc>
          <w:tcPr>
            <w:tcW w:w="556"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12</w:t>
            </w:r>
          </w:p>
        </w:tc>
        <w:tc>
          <w:tcPr>
            <w:tcW w:w="556" w:type="dxa"/>
            <w:tcBorders>
              <w:top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26</w:t>
            </w:r>
          </w:p>
        </w:tc>
        <w:tc>
          <w:tcPr>
            <w:tcW w:w="44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1</w:t>
            </w:r>
          </w:p>
        </w:tc>
        <w:tc>
          <w:tcPr>
            <w:tcW w:w="557"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1</w:t>
            </w:r>
          </w:p>
        </w:tc>
        <w:tc>
          <w:tcPr>
            <w:tcW w:w="557"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16</w:t>
            </w:r>
          </w:p>
        </w:tc>
        <w:tc>
          <w:tcPr>
            <w:tcW w:w="551" w:type="dxa"/>
            <w:tcBorders>
              <w:top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6</w:t>
            </w:r>
          </w:p>
        </w:tc>
        <w:tc>
          <w:tcPr>
            <w:tcW w:w="523" w:type="dxa"/>
            <w:tcBorders>
              <w:top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24</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жртве насиља и занемаривања</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18</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10</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30</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7</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44</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15</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72</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10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16</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62</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19</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107</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са неадекватним родитељским старањем</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2</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2</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6</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0</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0</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са проблемима у понашању и у сукобу са</w:t>
            </w:r>
          </w:p>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законом</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6</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36</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42</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18</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51</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69</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13</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54</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67</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чији се родитељи споре око начина вршења родитељског права</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7</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13</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12</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7</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39</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11</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28</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8</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53</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7</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12</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35</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4</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58</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чије су породице корисници НСП и других видова материјалних давања</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31</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50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167</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70</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318</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20</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29</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106</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45</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200</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37</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73</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26</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23</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159</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ОСИ</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4</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3</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17</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5</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29</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3</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24</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43</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1</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10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20</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7</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38</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у поступцима одређивања личног имена</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1</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0</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0</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у поступцима располагања имовином</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1</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10</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4</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4</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у поступцима: сагаласност за малолетнички брак</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0</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1</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0</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жртве трговине људима</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0</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0</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0</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страни држављани без пратње</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0</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0</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0</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која живе и раде на улици (деца улице)</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0</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0</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0</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Деца повратници/из реадмисије</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0</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0</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0</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0</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0</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Cs/>
                <w:sz w:val="18"/>
                <w:szCs w:val="18"/>
                <w:lang w:eastAsia="sr-Latn-RS"/>
              </w:rPr>
            </w:pPr>
            <w:r>
              <w:rPr>
                <w:rFonts w:eastAsia="Times New Roman" w:cs="Tahoma" w:ascii="Tahoma" w:hAnsi="Tahoma"/>
                <w:bCs/>
                <w:sz w:val="18"/>
                <w:szCs w:val="18"/>
                <w:lang w:eastAsia="sr-Latn-RS"/>
              </w:rPr>
              <w:t>Остала деца</w:t>
            </w:r>
          </w:p>
        </w:tc>
        <w:tc>
          <w:tcPr>
            <w:tcW w:w="461"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1</w:t>
            </w:r>
          </w:p>
        </w:tc>
        <w:tc>
          <w:tcPr>
            <w:tcW w:w="77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3</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42</w:t>
            </w:r>
          </w:p>
        </w:tc>
        <w:tc>
          <w:tcPr>
            <w:tcW w:w="563"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eastAsia="Times New Roman" w:cs="Tahoma"/>
                <w:sz w:val="18"/>
                <w:szCs w:val="18"/>
                <w:lang w:eastAsia="sr-Latn-RS"/>
              </w:rPr>
            </w:pPr>
            <w:r>
              <w:rPr>
                <w:rFonts w:cs="Tahoma" w:ascii="Tahoma" w:hAnsi="Tahoma"/>
                <w:sz w:val="18"/>
                <w:szCs w:val="18"/>
              </w:rPr>
              <w:t>32</w:t>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eastAsia="Times New Roman" w:cs="Tahoma"/>
                <w:b/>
                <w:b/>
                <w:bCs/>
                <w:sz w:val="18"/>
                <w:szCs w:val="18"/>
                <w:lang w:eastAsia="sr-Latn-RS"/>
              </w:rPr>
            </w:pPr>
            <w:r>
              <w:rPr>
                <w:rFonts w:cs="Tahoma" w:ascii="Tahoma" w:hAnsi="Tahoma"/>
                <w:b/>
                <w:bCs/>
                <w:sz w:val="18"/>
                <w:szCs w:val="18"/>
              </w:rPr>
              <w:t>78</w:t>
            </w:r>
          </w:p>
        </w:tc>
        <w:tc>
          <w:tcPr>
            <w:tcW w:w="444"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3</w:t>
            </w:r>
          </w:p>
        </w:tc>
        <w:tc>
          <w:tcPr>
            <w:tcW w:w="440"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w:t>
            </w:r>
          </w:p>
        </w:tc>
        <w:tc>
          <w:tcPr>
            <w:tcW w:w="555"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53</w:t>
            </w:r>
          </w:p>
        </w:tc>
        <w:tc>
          <w:tcPr>
            <w:tcW w:w="556"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33</w:t>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93</w:t>
            </w:r>
          </w:p>
        </w:tc>
        <w:tc>
          <w:tcPr>
            <w:tcW w:w="442" w:type="dxa"/>
            <w:tcBorders>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3</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5</w:t>
            </w:r>
          </w:p>
        </w:tc>
        <w:tc>
          <w:tcPr>
            <w:tcW w:w="557"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39</w:t>
            </w:r>
          </w:p>
        </w:tc>
        <w:tc>
          <w:tcPr>
            <w:tcW w:w="551" w:type="dxa"/>
            <w:tcBorders>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sz w:val="18"/>
                <w:szCs w:val="18"/>
              </w:rPr>
            </w:pPr>
            <w:r>
              <w:rPr>
                <w:rFonts w:cs="Tahoma" w:ascii="Tahoma" w:hAnsi="Tahoma"/>
                <w:sz w:val="18"/>
                <w:szCs w:val="18"/>
              </w:rPr>
              <w:t>33</w:t>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sz w:val="18"/>
                <w:szCs w:val="18"/>
              </w:rPr>
              <w:t>80</w:t>
            </w:r>
          </w:p>
        </w:tc>
      </w:tr>
      <w:tr>
        <w:trPr>
          <w:trHeight w:val="290" w:hRule="atLeast"/>
        </w:trPr>
        <w:tc>
          <w:tcPr>
            <w:tcW w:w="22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t>Укупно</w:t>
            </w:r>
          </w:p>
        </w:tc>
        <w:tc>
          <w:tcPr>
            <w:tcW w:w="461" w:type="dxa"/>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46</w:t>
            </w:r>
          </w:p>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77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72</w:t>
            </w:r>
          </w:p>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555"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278</w:t>
            </w:r>
          </w:p>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56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174</w:t>
            </w:r>
          </w:p>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724"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570</w:t>
            </w:r>
          </w:p>
          <w:p>
            <w:pPr>
              <w:pStyle w:val="Normal"/>
              <w:widowControl w:val="false"/>
              <w:spacing w:lineRule="auto" w:line="240" w:before="0" w:after="0"/>
              <w:jc w:val="center"/>
              <w:rPr>
                <w:rFonts w:ascii="Tahoma" w:hAnsi="Tahoma" w:eastAsia="Times New Roman" w:cs="Tahoma"/>
                <w:b/>
                <w:b/>
                <w:bCs/>
                <w:sz w:val="18"/>
                <w:szCs w:val="18"/>
                <w:lang w:eastAsia="sr-Latn-RS"/>
              </w:rPr>
            </w:pPr>
            <w:r>
              <w:rPr>
                <w:rFonts w:eastAsia="Times New Roman" w:cs="Tahoma" w:ascii="Tahoma" w:hAnsi="Tahoma"/>
                <w:b/>
                <w:bCs/>
                <w:sz w:val="18"/>
                <w:szCs w:val="18"/>
                <w:lang w:eastAsia="sr-Latn-RS"/>
              </w:rPr>
            </w:r>
          </w:p>
        </w:tc>
        <w:tc>
          <w:tcPr>
            <w:tcW w:w="444" w:type="dxa"/>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38</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tc>
        <w:tc>
          <w:tcPr>
            <w:tcW w:w="440"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61</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tc>
        <w:tc>
          <w:tcPr>
            <w:tcW w:w="555"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293</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175</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tc>
        <w:tc>
          <w:tcPr>
            <w:tcW w:w="556"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567</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tc>
        <w:tc>
          <w:tcPr>
            <w:tcW w:w="442" w:type="dxa"/>
            <w:tcBorders>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59</w:t>
            </w:r>
          </w:p>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color w:val="000000"/>
                <w:sz w:val="18"/>
                <w:szCs w:val="18"/>
              </w:rPr>
            </w:r>
          </w:p>
        </w:tc>
        <w:tc>
          <w:tcPr>
            <w:tcW w:w="557"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117</w:t>
            </w:r>
          </w:p>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color w:val="000000"/>
                <w:sz w:val="18"/>
                <w:szCs w:val="18"/>
              </w:rPr>
            </w:r>
          </w:p>
        </w:tc>
        <w:tc>
          <w:tcPr>
            <w:tcW w:w="557"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215</w:t>
            </w:r>
          </w:p>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color w:val="000000"/>
                <w:sz w:val="18"/>
                <w:szCs w:val="18"/>
              </w:rPr>
            </w:r>
          </w:p>
        </w:tc>
        <w:tc>
          <w:tcPr>
            <w:tcW w:w="551"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146</w:t>
            </w:r>
          </w:p>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color w:val="000000"/>
                <w:sz w:val="18"/>
                <w:szCs w:val="18"/>
              </w:rPr>
            </w:r>
          </w:p>
        </w:tc>
        <w:tc>
          <w:tcPr>
            <w:tcW w:w="523" w:type="dxa"/>
            <w:tcBorders>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537</w:t>
            </w:r>
          </w:p>
          <w:p>
            <w:pPr>
              <w:pStyle w:val="Normal"/>
              <w:widowControl w:val="false"/>
              <w:spacing w:lineRule="auto" w:line="240" w:before="0" w:after="0"/>
              <w:jc w:val="center"/>
              <w:rPr>
                <w:rFonts w:ascii="Tahoma" w:hAnsi="Tahoma" w:cs="Tahoma"/>
                <w:b/>
                <w:b/>
                <w:bCs/>
                <w:color w:val="000000"/>
                <w:sz w:val="18"/>
                <w:szCs w:val="18"/>
              </w:rPr>
            </w:pPr>
            <w:r>
              <w:rPr>
                <w:rFonts w:cs="Tahoma" w:ascii="Tahoma" w:hAnsi="Tahoma"/>
                <w:b/>
                <w:bCs/>
                <w:color w:val="000000"/>
                <w:sz w:val="18"/>
                <w:szCs w:val="18"/>
              </w:rPr>
            </w:r>
          </w:p>
        </w:tc>
      </w:tr>
    </w:tbl>
    <w:p>
      <w:pPr>
        <w:pStyle w:val="Normal"/>
        <w:jc w:val="end"/>
        <w:rPr>
          <w:rFonts w:ascii="Tahoma" w:hAnsi="Tahoma" w:cs="Tahoma"/>
          <w:lang w:val="sr-RS"/>
        </w:rPr>
      </w:pPr>
      <w:r>
        <w:rPr>
          <w:rFonts w:eastAsia="Times New Roman" w:cs="Tahoma" w:ascii="Tahoma" w:hAnsi="Tahoma"/>
          <w:bCs/>
          <w:i/>
          <w:iCs/>
          <w:sz w:val="18"/>
          <w:szCs w:val="18"/>
          <w:lang w:val="sr-RS"/>
        </w:rPr>
        <w:t xml:space="preserve">Извор: </w:t>
      </w:r>
      <w:r>
        <w:rPr>
          <w:rFonts w:eastAsia="Times New Roman" w:cs="Tahoma" w:ascii="Tahoma" w:hAnsi="Tahoma"/>
          <w:bCs/>
          <w:i/>
          <w:iCs/>
          <w:sz w:val="18"/>
          <w:szCs w:val="18"/>
          <w:shd w:fill="FFFFFF" w:val="clear"/>
          <w:lang w:val="sr-RS"/>
        </w:rPr>
        <w:t>Годишњи извештај Центра за социјални рад за 2021, 2022, 2023. годину</w:t>
      </w:r>
    </w:p>
    <w:p>
      <w:pPr>
        <w:pStyle w:val="Normal"/>
        <w:tabs>
          <w:tab w:val="left" w:pos="720" w:leader="none"/>
          <w:tab w:val="left" w:pos="1440" w:leader="none"/>
        </w:tabs>
        <w:spacing w:lineRule="auto" w:line="240" w:before="0" w:after="0"/>
        <w:jc w:val="both"/>
        <w:rPr>
          <w:rFonts w:ascii="Tahoma" w:hAnsi="Tahoma" w:cs="Tahoma"/>
          <w:sz w:val="20"/>
          <w:szCs w:val="20"/>
          <w:lang w:val="sr-RS"/>
        </w:rPr>
      </w:pPr>
      <w:r>
        <w:rPr>
          <w:rFonts w:cs="Tahoma" w:ascii="Tahoma" w:hAnsi="Tahoma"/>
          <w:sz w:val="20"/>
          <w:szCs w:val="20"/>
          <w:lang w:val="sr-RS"/>
        </w:rPr>
      </w:r>
    </w:p>
    <w:p>
      <w:pPr>
        <w:pStyle w:val="Normal"/>
        <w:spacing w:before="0" w:after="0"/>
        <w:rPr>
          <w:rFonts w:ascii="Tahoma" w:hAnsi="Tahoma" w:cs="Tahoma"/>
          <w:lang w:val="sr-RS"/>
        </w:rPr>
      </w:pPr>
      <w:r>
        <w:rPr>
          <w:rFonts w:eastAsia="Times New Roman" w:cs="Tahoma" w:ascii="Tahoma" w:hAnsi="Tahoma"/>
          <w:sz w:val="18"/>
          <w:szCs w:val="18"/>
          <w:lang w:val="sr-RS"/>
        </w:rPr>
        <w:t>Табела 7.5. Број пунолетних корисника у ЦСР према корисничким групама и старости</w:t>
      </w:r>
    </w:p>
    <w:tbl>
      <w:tblPr>
        <w:tblW w:w="11374" w:type="dxa"/>
        <w:jc w:val="start"/>
        <w:tblInd w:w="-1139" w:type="dxa"/>
        <w:tblLayout w:type="fixed"/>
        <w:tblCellMar>
          <w:top w:w="0" w:type="dxa"/>
          <w:start w:w="108" w:type="dxa"/>
          <w:bottom w:w="0" w:type="dxa"/>
          <w:end w:w="108" w:type="dxa"/>
        </w:tblCellMar>
        <w:tblLook w:firstRow="0" w:noVBand="0" w:lastRow="0" w:firstColumn="0" w:lastColumn="0" w:noHBand="0" w:val="0000"/>
      </w:tblPr>
      <w:tblGrid>
        <w:gridCol w:w="1562"/>
        <w:gridCol w:w="710"/>
        <w:gridCol w:w="707"/>
        <w:gridCol w:w="568"/>
        <w:gridCol w:w="566"/>
        <w:gridCol w:w="712"/>
        <w:gridCol w:w="687"/>
        <w:gridCol w:w="686"/>
        <w:gridCol w:w="682"/>
        <w:gridCol w:w="515"/>
        <w:gridCol w:w="687"/>
        <w:gridCol w:w="592"/>
        <w:gridCol w:w="683"/>
        <w:gridCol w:w="682"/>
        <w:gridCol w:w="680"/>
        <w:gridCol w:w="652"/>
      </w:tblGrid>
      <w:tr>
        <w:trPr>
          <w:trHeight w:val="257" w:hRule="atLeast"/>
        </w:trPr>
        <w:tc>
          <w:tcPr>
            <w:tcW w:w="1562" w:type="dxa"/>
            <w:vMerge w:val="restart"/>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Корисничке групе</w:t>
            </w:r>
          </w:p>
        </w:tc>
        <w:tc>
          <w:tcPr>
            <w:tcW w:w="3263" w:type="dxa"/>
            <w:gridSpan w:val="5"/>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jc w:val="center"/>
              <w:rPr>
                <w:rFonts w:ascii="Tahoma" w:hAnsi="Tahoma" w:cs="Tahoma"/>
                <w:b/>
                <w:b/>
                <w:bCs/>
                <w:color w:val="000000"/>
                <w:kern w:val="0"/>
                <w:sz w:val="16"/>
                <w:szCs w:val="16"/>
                <w:lang w:val="sr-RS"/>
                <w14:ligatures w14:val="none"/>
              </w:rPr>
            </w:pPr>
            <w:r>
              <w:rPr>
                <w:rFonts w:cs="Tahoma" w:ascii="Tahoma" w:hAnsi="Tahoma"/>
                <w:b/>
                <w:bCs/>
                <w:color w:val="000000"/>
                <w:kern w:val="0"/>
                <w:sz w:val="16"/>
                <w:szCs w:val="16"/>
                <w:lang w:val="sr-RS"/>
                <w14:ligatures w14:val="none"/>
              </w:rPr>
              <w:t>2021</w:t>
            </w:r>
          </w:p>
        </w:tc>
        <w:tc>
          <w:tcPr>
            <w:tcW w:w="3257" w:type="dxa"/>
            <w:gridSpan w:val="5"/>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jc w:val="center"/>
              <w:rPr>
                <w:rFonts w:ascii="Tahoma" w:hAnsi="Tahoma" w:cs="Tahoma"/>
                <w:b/>
                <w:b/>
                <w:bCs/>
                <w:color w:val="000000"/>
                <w:kern w:val="0"/>
                <w:sz w:val="16"/>
                <w:szCs w:val="16"/>
                <w:lang w:val="sr-RS"/>
                <w14:ligatures w14:val="none"/>
              </w:rPr>
            </w:pPr>
            <w:r>
              <w:rPr>
                <w:rFonts w:cs="Tahoma" w:ascii="Tahoma" w:hAnsi="Tahoma"/>
                <w:b/>
                <w:bCs/>
                <w:color w:val="000000"/>
                <w:kern w:val="0"/>
                <w:sz w:val="16"/>
                <w:szCs w:val="16"/>
                <w:lang w:val="sr-RS"/>
                <w14:ligatures w14:val="none"/>
              </w:rPr>
              <w:t>2022</w:t>
            </w:r>
          </w:p>
        </w:tc>
        <w:tc>
          <w:tcPr>
            <w:tcW w:w="3289" w:type="dxa"/>
            <w:gridSpan w:val="5"/>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jc w:val="center"/>
              <w:rPr>
                <w:rFonts w:ascii="Tahoma" w:hAnsi="Tahoma" w:cs="Tahoma"/>
                <w:b/>
                <w:b/>
                <w:bCs/>
                <w:color w:val="000000"/>
                <w:kern w:val="0"/>
                <w:sz w:val="16"/>
                <w:szCs w:val="16"/>
                <w:lang w:val="sr-RS"/>
                <w14:ligatures w14:val="none"/>
              </w:rPr>
            </w:pPr>
            <w:r>
              <w:rPr>
                <w:rFonts w:cs="Tahoma" w:ascii="Tahoma" w:hAnsi="Tahoma"/>
                <w:b/>
                <w:bCs/>
                <w:color w:val="000000"/>
                <w:kern w:val="0"/>
                <w:sz w:val="16"/>
                <w:szCs w:val="16"/>
                <w:lang w:val="sr-RS"/>
                <w14:ligatures w14:val="none"/>
              </w:rPr>
              <w:t>2023</w:t>
            </w:r>
          </w:p>
        </w:tc>
      </w:tr>
      <w:tr>
        <w:trPr>
          <w:trHeight w:val="1326" w:hRule="atLeast"/>
          <w:cantSplit w:val="true"/>
        </w:trPr>
        <w:tc>
          <w:tcPr>
            <w:tcW w:w="1562" w:type="dxa"/>
            <w:vMerge w:val="continue"/>
            <w:tcBorders>
              <w:top w:val="single" w:sz="4" w:space="0" w:color="000000"/>
              <w:start w:val="single" w:sz="4" w:space="0" w:color="000000"/>
              <w:bottom w:val="single" w:sz="4" w:space="0" w:color="000000"/>
              <w:end w:val="single" w:sz="4" w:space="0" w:color="000000"/>
            </w:tcBorders>
            <w:shd w:color="auto" w:fill="D9E2F3" w:themeFill="accent1"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r>
          </w:p>
        </w:tc>
        <w:tc>
          <w:tcPr>
            <w:tcW w:w="710"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Млади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 xml:space="preserve"> </w:t>
            </w:r>
            <w:r>
              <w:rPr>
                <w:rFonts w:cs="Tahoma" w:ascii="Tahoma" w:hAnsi="Tahoma"/>
                <w:bCs/>
                <w:color w:val="000000"/>
                <w:kern w:val="0"/>
                <w:sz w:val="16"/>
                <w:szCs w:val="16"/>
                <w:lang w:val="sr-Latn-RS"/>
                <w14:ligatures w14:val="none"/>
              </w:rPr>
              <w:t>(18 - 25)</w:t>
            </w:r>
          </w:p>
        </w:tc>
        <w:tc>
          <w:tcPr>
            <w:tcW w:w="707"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Одрасли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 xml:space="preserve"> </w:t>
            </w:r>
            <w:r>
              <w:rPr>
                <w:rFonts w:cs="Tahoma" w:ascii="Tahoma" w:hAnsi="Tahoma"/>
                <w:bCs/>
                <w:color w:val="000000"/>
                <w:kern w:val="0"/>
                <w:sz w:val="16"/>
                <w:szCs w:val="16"/>
                <w:lang w:val="sr-Latn-RS"/>
                <w14:ligatures w14:val="none"/>
              </w:rPr>
              <w:t>(26 - 64)</w:t>
            </w:r>
          </w:p>
        </w:tc>
        <w:tc>
          <w:tcPr>
            <w:tcW w:w="568"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Старији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(65 - 79)</w:t>
            </w:r>
          </w:p>
        </w:tc>
        <w:tc>
          <w:tcPr>
            <w:tcW w:w="56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Старији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(80 и више)</w:t>
            </w:r>
          </w:p>
        </w:tc>
        <w:tc>
          <w:tcPr>
            <w:tcW w:w="712"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Укупно</w:t>
            </w:r>
          </w:p>
        </w:tc>
        <w:tc>
          <w:tcPr>
            <w:tcW w:w="687"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Млади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(18 - 25)</w:t>
            </w:r>
          </w:p>
        </w:tc>
        <w:tc>
          <w:tcPr>
            <w:tcW w:w="686"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Одрасли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(26 - 64)</w:t>
            </w:r>
          </w:p>
        </w:tc>
        <w:tc>
          <w:tcPr>
            <w:tcW w:w="682"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Старији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 xml:space="preserve"> </w:t>
            </w:r>
            <w:r>
              <w:rPr>
                <w:rFonts w:cs="Tahoma" w:ascii="Tahoma" w:hAnsi="Tahoma"/>
                <w:bCs/>
                <w:color w:val="000000"/>
                <w:kern w:val="0"/>
                <w:sz w:val="16"/>
                <w:szCs w:val="16"/>
                <w:lang w:val="sr-Latn-RS"/>
                <w14:ligatures w14:val="none"/>
              </w:rPr>
              <w:t>(65 - 79)</w:t>
            </w:r>
          </w:p>
        </w:tc>
        <w:tc>
          <w:tcPr>
            <w:tcW w:w="515"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Старији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(80 и више)</w:t>
            </w:r>
          </w:p>
        </w:tc>
        <w:tc>
          <w:tcPr>
            <w:tcW w:w="687"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Укупно</w:t>
            </w:r>
          </w:p>
        </w:tc>
        <w:tc>
          <w:tcPr>
            <w:tcW w:w="592"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Млади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(18 - 25)</w:t>
            </w:r>
          </w:p>
        </w:tc>
        <w:tc>
          <w:tcPr>
            <w:tcW w:w="683"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Одрасли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 xml:space="preserve"> </w:t>
            </w:r>
            <w:r>
              <w:rPr>
                <w:rFonts w:cs="Tahoma" w:ascii="Tahoma" w:hAnsi="Tahoma"/>
                <w:bCs/>
                <w:color w:val="000000"/>
                <w:kern w:val="0"/>
                <w:sz w:val="16"/>
                <w:szCs w:val="16"/>
                <w:lang w:val="sr-Latn-RS"/>
                <w14:ligatures w14:val="none"/>
              </w:rPr>
              <w:t>(26 - 64)</w:t>
            </w:r>
          </w:p>
        </w:tc>
        <w:tc>
          <w:tcPr>
            <w:tcW w:w="682"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Старији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(65 - 79)</w:t>
            </w:r>
          </w:p>
        </w:tc>
        <w:tc>
          <w:tcPr>
            <w:tcW w:w="680"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Старији</w:t>
            </w:r>
          </w:p>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(80 и више)</w:t>
            </w:r>
          </w:p>
        </w:tc>
        <w:tc>
          <w:tcPr>
            <w:tcW w:w="652" w:type="dxa"/>
            <w:tcBorders>
              <w:top w:val="single" w:sz="4" w:space="0" w:color="000000"/>
              <w:start w:val="single" w:sz="4" w:space="0" w:color="000000"/>
              <w:bottom w:val="single" w:sz="4" w:space="0" w:color="000000"/>
              <w:end w:val="single" w:sz="4" w:space="0" w:color="000000"/>
            </w:tcBorders>
            <w:shd w:color="auto" w:fill="D9E2F3" w:themeFill="accent1" w:themeFillTint="33" w:val="clear"/>
            <w:textDirection w:val="btLr"/>
          </w:tcPr>
          <w:p>
            <w:pPr>
              <w:pStyle w:val="Normal"/>
              <w:widowControl w:val="false"/>
              <w:spacing w:lineRule="auto" w:line="240" w:before="0" w:after="0"/>
              <w:ind w:start="113" w:end="113" w:hanging="0"/>
              <w:jc w:val="center"/>
              <w:rPr>
                <w:rFonts w:ascii="Tahoma" w:hAnsi="Tahoma" w:cs="Tahoma"/>
                <w:bCs/>
                <w:color w:val="000000"/>
                <w:kern w:val="0"/>
                <w:sz w:val="16"/>
                <w:szCs w:val="16"/>
                <w:lang w:val="sr-Latn-RS"/>
                <w14:ligatures w14:val="none"/>
              </w:rPr>
            </w:pPr>
            <w:r>
              <w:rPr>
                <w:rFonts w:cs="Tahoma" w:ascii="Tahoma" w:hAnsi="Tahoma"/>
                <w:bCs/>
                <w:color w:val="000000"/>
                <w:kern w:val="0"/>
                <w:sz w:val="16"/>
                <w:szCs w:val="16"/>
                <w:lang w:val="sr-Latn-RS"/>
                <w14:ligatures w14:val="none"/>
              </w:rPr>
              <w:t>Укупно</w:t>
            </w:r>
          </w:p>
        </w:tc>
      </w:tr>
      <w:tr>
        <w:trPr>
          <w:trHeight w:val="43"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RS"/>
                <w14:ligatures w14:val="none"/>
              </w:rPr>
            </w:pPr>
            <w:r>
              <w:rPr>
                <w:rFonts w:cs="Tahoma" w:ascii="Tahoma" w:hAnsi="Tahoma"/>
                <w:b/>
                <w:bCs/>
                <w:color w:val="000000"/>
                <w:kern w:val="0"/>
                <w:sz w:val="16"/>
                <w:szCs w:val="16"/>
                <w:lang w:val="sr-Latn-RS"/>
                <w14:ligatures w14:val="none"/>
              </w:rPr>
              <w:t>Особе под старатељством</w:t>
            </w:r>
            <w:r>
              <w:rPr>
                <w:rStyle w:val="FootnoteAnchor"/>
                <w:rFonts w:cs="Tahoma" w:ascii="Tahoma" w:hAnsi="Tahoma"/>
                <w:b/>
                <w:bCs/>
                <w:color w:val="000000"/>
                <w:kern w:val="0"/>
                <w:sz w:val="16"/>
                <w:szCs w:val="16"/>
                <w:lang w:val="sr-RS"/>
                <w14:ligatures w14:val="none"/>
              </w:rPr>
              <w:footnoteReference w:id="88"/>
            </w:r>
          </w:p>
        </w:tc>
        <w:tc>
          <w:tcPr>
            <w:tcW w:w="71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3</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0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28</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3</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38</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26</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8</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42</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9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3</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26</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5</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40</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r>
      <w:tr>
        <w:trPr>
          <w:trHeight w:val="290"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Жртве насиља, занемаренe особe и у ризику од занемаривања</w:t>
            </w:r>
          </w:p>
        </w:tc>
        <w:tc>
          <w:tcPr>
            <w:tcW w:w="71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13</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0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68</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8</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91</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17</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62</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11</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91</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9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17</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65</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7</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90</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r>
      <w:tr>
        <w:trPr>
          <w:trHeight w:val="290"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Особе које се споре око вршења родитељског права</w:t>
            </w:r>
          </w:p>
        </w:tc>
        <w:tc>
          <w:tcPr>
            <w:tcW w:w="71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3</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0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34</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38</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42</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44</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9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8</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45</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55</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r>
      <w:tr>
        <w:trPr>
          <w:trHeight w:val="290"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Особе са инвалидитетом</w:t>
            </w:r>
          </w:p>
        </w:tc>
        <w:tc>
          <w:tcPr>
            <w:tcW w:w="71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10</w:t>
            </w:r>
          </w:p>
        </w:tc>
        <w:tc>
          <w:tcPr>
            <w:tcW w:w="70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94</w:t>
            </w:r>
          </w:p>
        </w:tc>
        <w:tc>
          <w:tcPr>
            <w:tcW w:w="56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39</w:t>
            </w:r>
          </w:p>
        </w:tc>
        <w:tc>
          <w:tcPr>
            <w:tcW w:w="56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18</w:t>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
                <w:bCs/>
                <w:sz w:val="18"/>
                <w:szCs w:val="18"/>
              </w:rPr>
              <w:t>161</w:t>
            </w:r>
          </w:p>
        </w:tc>
        <w:tc>
          <w:tcPr>
            <w:tcW w:w="6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4</w:t>
            </w:r>
          </w:p>
        </w:tc>
        <w:tc>
          <w:tcPr>
            <w:tcW w:w="68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99</w:t>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35</w:t>
            </w:r>
          </w:p>
        </w:tc>
        <w:tc>
          <w:tcPr>
            <w:tcW w:w="5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18</w:t>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
                <w:bCs/>
                <w:sz w:val="18"/>
                <w:szCs w:val="18"/>
              </w:rPr>
              <w:t>156</w:t>
            </w:r>
          </w:p>
        </w:tc>
        <w:tc>
          <w:tcPr>
            <w:tcW w:w="59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6</w:t>
            </w:r>
          </w:p>
        </w:tc>
        <w:tc>
          <w:tcPr>
            <w:tcW w:w="68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105</w:t>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49</w:t>
            </w:r>
          </w:p>
        </w:tc>
        <w:tc>
          <w:tcPr>
            <w:tcW w:w="68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10</w:t>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
                <w:bCs/>
                <w:sz w:val="18"/>
                <w:szCs w:val="18"/>
              </w:rPr>
              <w:t>170</w:t>
            </w:r>
          </w:p>
        </w:tc>
      </w:tr>
      <w:tr>
        <w:trPr>
          <w:trHeight w:val="290"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Особ</w:t>
            </w:r>
            <w:r>
              <w:rPr>
                <w:rFonts w:cs="Tahoma" w:ascii="Tahoma" w:hAnsi="Tahoma"/>
                <w:b/>
                <w:bCs/>
                <w:color w:val="000000"/>
                <w:kern w:val="0"/>
                <w:sz w:val="16"/>
                <w:szCs w:val="16"/>
                <w:lang w:val="sr-RS"/>
                <w14:ligatures w14:val="none"/>
              </w:rPr>
              <w:t>е</w:t>
            </w:r>
            <w:r>
              <w:rPr>
                <w:rFonts w:cs="Tahoma" w:ascii="Tahoma" w:hAnsi="Tahoma"/>
                <w:b/>
                <w:bCs/>
                <w:color w:val="000000"/>
                <w:kern w:val="0"/>
                <w:sz w:val="16"/>
                <w:szCs w:val="16"/>
                <w:lang w:val="sr-Latn-RS"/>
                <w14:ligatures w14:val="none"/>
              </w:rPr>
              <w:t xml:space="preserve"> са друштвено неприхватљивим понашањем</w:t>
            </w:r>
          </w:p>
        </w:tc>
        <w:tc>
          <w:tcPr>
            <w:tcW w:w="71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17</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0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72</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5</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96</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24</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63</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7</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94</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9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17</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40</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63</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r>
      <w:tr>
        <w:trPr>
          <w:trHeight w:val="290"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Особе које имају потребе за смештајем -домски или породични смештај</w:t>
            </w:r>
          </w:p>
        </w:tc>
        <w:tc>
          <w:tcPr>
            <w:tcW w:w="71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5</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0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15</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13</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43</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22</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26</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51</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9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19</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24</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15</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59</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r>
      <w:tr>
        <w:trPr>
          <w:trHeight w:val="290"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Материјално угрожене особе</w:t>
            </w:r>
          </w:p>
        </w:tc>
        <w:tc>
          <w:tcPr>
            <w:tcW w:w="71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64</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0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422</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47</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9</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542</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38</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322</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48</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9</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417</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9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25</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373</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67</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4</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469</w:t>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r>
      <w:tr>
        <w:trPr>
          <w:trHeight w:val="290"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Страни држављани и лица без држављанства у потреби за социјалном заштитом</w:t>
            </w:r>
          </w:p>
        </w:tc>
        <w:tc>
          <w:tcPr>
            <w:tcW w:w="71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0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56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0</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0</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59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8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t>0</w:t>
            </w:r>
          </w:p>
          <w:p>
            <w:pPr>
              <w:pStyle w:val="Normal"/>
              <w:widowControl w:val="false"/>
              <w:spacing w:lineRule="auto" w:line="240" w:before="0" w:after="0"/>
              <w:jc w:val="center"/>
              <w:rPr>
                <w:rFonts w:ascii="Tahoma" w:hAnsi="Tahoma" w:cs="Tahoma"/>
                <w:b/>
                <w:b/>
                <w:bCs/>
                <w:sz w:val="18"/>
                <w:szCs w:val="18"/>
              </w:rPr>
            </w:pPr>
            <w:r>
              <w:rPr>
                <w:rFonts w:cs="Tahoma" w:ascii="Tahoma" w:hAnsi="Tahoma"/>
                <w:b/>
                <w:bCs/>
                <w:sz w:val="18"/>
                <w:szCs w:val="18"/>
              </w:rPr>
            </w:r>
          </w:p>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Cs/>
                <w:color w:val="000000"/>
                <w:kern w:val="0"/>
                <w:sz w:val="18"/>
                <w:szCs w:val="18"/>
                <w:lang w:val="sr-Latn-RS"/>
                <w14:ligatures w14:val="none"/>
              </w:rPr>
            </w:r>
          </w:p>
        </w:tc>
      </w:tr>
      <w:tr>
        <w:trPr>
          <w:trHeight w:val="290"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Жртве трговине људима</w:t>
            </w:r>
          </w:p>
        </w:tc>
        <w:tc>
          <w:tcPr>
            <w:tcW w:w="71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color w:val="000000"/>
                <w:kern w:val="0"/>
                <w:sz w:val="18"/>
                <w:szCs w:val="18"/>
                <w:lang w:val="sr-Latn-RS"/>
                <w14:ligatures w14:val="none"/>
              </w:rPr>
            </w:r>
          </w:p>
        </w:tc>
        <w:tc>
          <w:tcPr>
            <w:tcW w:w="70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tc>
        <w:tc>
          <w:tcPr>
            <w:tcW w:w="56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tc>
        <w:tc>
          <w:tcPr>
            <w:tcW w:w="56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sz w:val="18"/>
                <w:szCs w:val="18"/>
              </w:rPr>
            </w:pPr>
            <w:r>
              <w:rPr>
                <w:rFonts w:cs="Tahoma" w:ascii="Tahoma" w:hAnsi="Tahoma"/>
                <w:b/>
                <w:sz w:val="18"/>
                <w:szCs w:val="18"/>
              </w:rPr>
              <w:t>0</w:t>
            </w:r>
          </w:p>
          <w:p>
            <w:pPr>
              <w:pStyle w:val="Normal"/>
              <w:widowControl w:val="false"/>
              <w:spacing w:lineRule="auto" w:line="240" w:before="0" w:after="0"/>
              <w:jc w:val="center"/>
              <w:rPr>
                <w:rFonts w:ascii="Tahoma" w:hAnsi="Tahoma" w:cs="Tahoma"/>
                <w:b/>
                <w:b/>
                <w:sz w:val="18"/>
                <w:szCs w:val="18"/>
              </w:rPr>
            </w:pPr>
            <w:r>
              <w:rPr>
                <w:rFonts w:cs="Tahoma" w:ascii="Tahoma" w:hAnsi="Tahoma"/>
                <w:b/>
                <w:sz w:val="18"/>
                <w:szCs w:val="18"/>
              </w:rPr>
            </w:r>
          </w:p>
        </w:tc>
        <w:tc>
          <w:tcPr>
            <w:tcW w:w="6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tc>
        <w:tc>
          <w:tcPr>
            <w:tcW w:w="68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tc>
        <w:tc>
          <w:tcPr>
            <w:tcW w:w="5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sz w:val="18"/>
                <w:szCs w:val="18"/>
              </w:rPr>
            </w:pPr>
            <w:r>
              <w:rPr>
                <w:rFonts w:cs="Tahoma" w:ascii="Tahoma" w:hAnsi="Tahoma"/>
                <w:b/>
                <w:sz w:val="18"/>
                <w:szCs w:val="18"/>
              </w:rPr>
              <w:t>0</w:t>
            </w:r>
          </w:p>
          <w:p>
            <w:pPr>
              <w:pStyle w:val="Normal"/>
              <w:widowControl w:val="false"/>
              <w:spacing w:lineRule="auto" w:line="240" w:before="0" w:after="0"/>
              <w:jc w:val="center"/>
              <w:rPr>
                <w:rFonts w:ascii="Tahoma" w:hAnsi="Tahoma" w:cs="Tahoma"/>
                <w:b/>
                <w:b/>
                <w:sz w:val="18"/>
                <w:szCs w:val="18"/>
              </w:rPr>
            </w:pPr>
            <w:r>
              <w:rPr>
                <w:rFonts w:cs="Tahoma" w:ascii="Tahoma" w:hAnsi="Tahoma"/>
                <w:b/>
                <w:sz w:val="18"/>
                <w:szCs w:val="18"/>
              </w:rPr>
            </w:r>
          </w:p>
        </w:tc>
        <w:tc>
          <w:tcPr>
            <w:tcW w:w="59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tc>
        <w:tc>
          <w:tcPr>
            <w:tcW w:w="68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tc>
        <w:tc>
          <w:tcPr>
            <w:tcW w:w="68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t>0</w:t>
            </w:r>
          </w:p>
          <w:p>
            <w:pPr>
              <w:pStyle w:val="Normal"/>
              <w:widowControl w:val="false"/>
              <w:spacing w:lineRule="auto" w:line="240" w:before="0" w:after="0"/>
              <w:jc w:val="center"/>
              <w:rPr>
                <w:rFonts w:ascii="Tahoma" w:hAnsi="Tahoma" w:cs="Tahoma"/>
                <w:sz w:val="18"/>
                <w:szCs w:val="18"/>
              </w:rPr>
            </w:pPr>
            <w:r>
              <w:rPr>
                <w:rFonts w:cs="Tahoma" w:ascii="Tahoma" w:hAnsi="Tahoma"/>
                <w:sz w:val="18"/>
                <w:szCs w:val="18"/>
              </w:rPr>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sz w:val="18"/>
                <w:szCs w:val="18"/>
              </w:rPr>
            </w:pPr>
            <w:r>
              <w:rPr>
                <w:rFonts w:cs="Tahoma" w:ascii="Tahoma" w:hAnsi="Tahoma"/>
                <w:b/>
                <w:sz w:val="18"/>
                <w:szCs w:val="18"/>
              </w:rPr>
              <w:t>0</w:t>
            </w:r>
          </w:p>
          <w:p>
            <w:pPr>
              <w:pStyle w:val="Normal"/>
              <w:widowControl w:val="false"/>
              <w:spacing w:lineRule="auto" w:line="240" w:before="0" w:after="0"/>
              <w:jc w:val="center"/>
              <w:rPr>
                <w:rFonts w:ascii="Tahoma" w:hAnsi="Tahoma" w:cs="Tahoma"/>
                <w:b/>
                <w:b/>
                <w:sz w:val="18"/>
                <w:szCs w:val="18"/>
              </w:rPr>
            </w:pPr>
            <w:r>
              <w:rPr>
                <w:rFonts w:cs="Tahoma" w:ascii="Tahoma" w:hAnsi="Tahoma"/>
                <w:b/>
                <w:sz w:val="18"/>
                <w:szCs w:val="18"/>
              </w:rPr>
            </w:r>
          </w:p>
        </w:tc>
      </w:tr>
      <w:tr>
        <w:trPr>
          <w:trHeight w:val="290"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Бескућници</w:t>
            </w:r>
          </w:p>
        </w:tc>
        <w:tc>
          <w:tcPr>
            <w:tcW w:w="71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0</w:t>
            </w:r>
          </w:p>
        </w:tc>
        <w:tc>
          <w:tcPr>
            <w:tcW w:w="70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0</w:t>
            </w:r>
          </w:p>
        </w:tc>
        <w:tc>
          <w:tcPr>
            <w:tcW w:w="56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0</w:t>
            </w:r>
          </w:p>
        </w:tc>
        <w:tc>
          <w:tcPr>
            <w:tcW w:w="56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0</w:t>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
                <w:bCs/>
                <w:sz w:val="18"/>
                <w:szCs w:val="18"/>
              </w:rPr>
              <w:t>0</w:t>
            </w:r>
          </w:p>
        </w:tc>
        <w:tc>
          <w:tcPr>
            <w:tcW w:w="6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0</w:t>
            </w:r>
          </w:p>
        </w:tc>
        <w:tc>
          <w:tcPr>
            <w:tcW w:w="68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0</w:t>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0</w:t>
            </w:r>
          </w:p>
        </w:tc>
        <w:tc>
          <w:tcPr>
            <w:tcW w:w="5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0</w:t>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
                <w:bCs/>
                <w:sz w:val="18"/>
                <w:szCs w:val="18"/>
              </w:rPr>
              <w:t>0</w:t>
            </w:r>
          </w:p>
        </w:tc>
        <w:tc>
          <w:tcPr>
            <w:tcW w:w="59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0</w:t>
            </w:r>
          </w:p>
        </w:tc>
        <w:tc>
          <w:tcPr>
            <w:tcW w:w="68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0</w:t>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0</w:t>
            </w:r>
          </w:p>
        </w:tc>
        <w:tc>
          <w:tcPr>
            <w:tcW w:w="68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0</w:t>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
                <w:bCs/>
                <w:sz w:val="18"/>
                <w:szCs w:val="18"/>
              </w:rPr>
              <w:t>0</w:t>
            </w:r>
          </w:p>
        </w:tc>
      </w:tr>
      <w:tr>
        <w:trPr>
          <w:trHeight w:val="290"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Остали</w:t>
            </w:r>
          </w:p>
        </w:tc>
        <w:tc>
          <w:tcPr>
            <w:tcW w:w="71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71</w:t>
            </w:r>
          </w:p>
        </w:tc>
        <w:tc>
          <w:tcPr>
            <w:tcW w:w="70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210</w:t>
            </w:r>
          </w:p>
        </w:tc>
        <w:tc>
          <w:tcPr>
            <w:tcW w:w="568"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35</w:t>
            </w:r>
          </w:p>
        </w:tc>
        <w:tc>
          <w:tcPr>
            <w:tcW w:w="56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color w:val="000000"/>
                <w:kern w:val="0"/>
                <w:sz w:val="18"/>
                <w:szCs w:val="18"/>
                <w:lang w:val="sr-Latn-RS"/>
                <w14:ligatures w14:val="none"/>
              </w:rPr>
            </w:pPr>
            <w:r>
              <w:rPr>
                <w:rFonts w:cs="Tahoma" w:ascii="Tahoma" w:hAnsi="Tahoma"/>
                <w:sz w:val="18"/>
                <w:szCs w:val="18"/>
              </w:rPr>
              <w:t>22</w:t>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
                <w:bCs/>
                <w:sz w:val="18"/>
                <w:szCs w:val="18"/>
              </w:rPr>
              <w:t>338</w:t>
            </w:r>
          </w:p>
        </w:tc>
        <w:tc>
          <w:tcPr>
            <w:tcW w:w="687"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77</w:t>
            </w:r>
          </w:p>
        </w:tc>
        <w:tc>
          <w:tcPr>
            <w:tcW w:w="686"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212</w:t>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17</w:t>
            </w:r>
          </w:p>
        </w:tc>
        <w:tc>
          <w:tcPr>
            <w:tcW w:w="515"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13</w:t>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
                <w:bCs/>
                <w:sz w:val="18"/>
                <w:szCs w:val="18"/>
              </w:rPr>
              <w:t>319</w:t>
            </w:r>
          </w:p>
        </w:tc>
        <w:tc>
          <w:tcPr>
            <w:tcW w:w="59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87</w:t>
            </w:r>
          </w:p>
        </w:tc>
        <w:tc>
          <w:tcPr>
            <w:tcW w:w="683"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213</w:t>
            </w:r>
          </w:p>
        </w:tc>
        <w:tc>
          <w:tcPr>
            <w:tcW w:w="682"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9</w:t>
            </w:r>
          </w:p>
        </w:tc>
        <w:tc>
          <w:tcPr>
            <w:tcW w:w="680" w:type="dxa"/>
            <w:tcBorders>
              <w:top w:val="single" w:sz="4" w:space="0" w:color="000000"/>
              <w:start w:val="single" w:sz="4" w:space="0" w:color="000000"/>
              <w:bottom w:val="single" w:sz="4" w:space="0" w:color="000000"/>
              <w:end w:val="single" w:sz="4" w:space="0" w:color="000000"/>
            </w:tcBorders>
            <w:shd w:color="auto" w:fill="auto"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sz w:val="18"/>
                <w:szCs w:val="18"/>
              </w:rPr>
              <w:t>2</w:t>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Cs/>
                <w:color w:val="000000"/>
                <w:kern w:val="0"/>
                <w:sz w:val="18"/>
                <w:szCs w:val="18"/>
                <w:lang w:val="sr-Latn-RS"/>
                <w14:ligatures w14:val="none"/>
              </w:rPr>
            </w:pPr>
            <w:r>
              <w:rPr>
                <w:rFonts w:cs="Tahoma" w:ascii="Tahoma" w:hAnsi="Tahoma"/>
                <w:b/>
                <w:bCs/>
                <w:sz w:val="18"/>
                <w:szCs w:val="18"/>
              </w:rPr>
              <w:t>311</w:t>
            </w:r>
          </w:p>
        </w:tc>
      </w:tr>
      <w:tr>
        <w:trPr>
          <w:trHeight w:val="290" w:hRule="atLeast"/>
        </w:trPr>
        <w:tc>
          <w:tcPr>
            <w:tcW w:w="156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spacing w:lineRule="auto" w:line="240" w:before="0" w:after="0"/>
              <w:rPr>
                <w:rFonts w:ascii="Tahoma" w:hAnsi="Tahoma" w:cs="Tahoma"/>
                <w:b/>
                <w:b/>
                <w:bCs/>
                <w:color w:val="000000"/>
                <w:kern w:val="0"/>
                <w:sz w:val="16"/>
                <w:szCs w:val="16"/>
                <w:lang w:val="sr-Latn-RS"/>
                <w14:ligatures w14:val="none"/>
              </w:rPr>
            </w:pPr>
            <w:r>
              <w:rPr>
                <w:rFonts w:cs="Tahoma" w:ascii="Tahoma" w:hAnsi="Tahoma"/>
                <w:b/>
                <w:bCs/>
                <w:color w:val="000000"/>
                <w:kern w:val="0"/>
                <w:sz w:val="16"/>
                <w:szCs w:val="16"/>
                <w:lang w:val="sr-Latn-RS"/>
                <w14:ligatures w14:val="none"/>
              </w:rPr>
              <w:t>Укупно</w:t>
            </w:r>
          </w:p>
        </w:tc>
        <w:tc>
          <w:tcPr>
            <w:tcW w:w="710"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186</w:t>
            </w:r>
          </w:p>
        </w:tc>
        <w:tc>
          <w:tcPr>
            <w:tcW w:w="70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943</w:t>
            </w:r>
          </w:p>
        </w:tc>
        <w:tc>
          <w:tcPr>
            <w:tcW w:w="568"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151</w:t>
            </w:r>
          </w:p>
        </w:tc>
        <w:tc>
          <w:tcPr>
            <w:tcW w:w="566"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67</w:t>
            </w:r>
          </w:p>
        </w:tc>
        <w:tc>
          <w:tcPr>
            <w:tcW w:w="71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1347</w:t>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168</w:t>
            </w:r>
          </w:p>
        </w:tc>
        <w:tc>
          <w:tcPr>
            <w:tcW w:w="686"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827</w:t>
            </w:r>
          </w:p>
        </w:tc>
        <w:tc>
          <w:tcPr>
            <w:tcW w:w="68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148</w:t>
            </w:r>
          </w:p>
        </w:tc>
        <w:tc>
          <w:tcPr>
            <w:tcW w:w="515"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71</w:t>
            </w:r>
          </w:p>
        </w:tc>
        <w:tc>
          <w:tcPr>
            <w:tcW w:w="68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1214</w:t>
            </w:r>
          </w:p>
        </w:tc>
        <w:tc>
          <w:tcPr>
            <w:tcW w:w="59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164</w:t>
            </w:r>
          </w:p>
        </w:tc>
        <w:tc>
          <w:tcPr>
            <w:tcW w:w="683"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886</w:t>
            </w:r>
          </w:p>
        </w:tc>
        <w:tc>
          <w:tcPr>
            <w:tcW w:w="68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170</w:t>
            </w:r>
          </w:p>
        </w:tc>
        <w:tc>
          <w:tcPr>
            <w:tcW w:w="680"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37</w:t>
            </w:r>
          </w:p>
        </w:tc>
        <w:tc>
          <w:tcPr>
            <w:tcW w:w="65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bottom"/>
          </w:tcPr>
          <w:p>
            <w:pPr>
              <w:pStyle w:val="Normal"/>
              <w:widowControl w:val="false"/>
              <w:spacing w:lineRule="auto" w:line="240" w:before="0" w:after="0"/>
              <w:jc w:val="center"/>
              <w:rPr>
                <w:rFonts w:ascii="Tahoma" w:hAnsi="Tahoma" w:cs="Tahoma"/>
                <w:b/>
                <w:b/>
                <w:bCs/>
                <w:color w:val="000000"/>
                <w:kern w:val="0"/>
                <w:sz w:val="18"/>
                <w:szCs w:val="18"/>
                <w:lang w:val="sr-Latn-RS"/>
                <w14:ligatures w14:val="none"/>
              </w:rPr>
            </w:pPr>
            <w:r>
              <w:rPr>
                <w:rFonts w:cs="Tahoma" w:ascii="Tahoma" w:hAnsi="Tahoma"/>
                <w:b/>
                <w:bCs/>
                <w:sz w:val="18"/>
                <w:szCs w:val="18"/>
              </w:rPr>
              <w:t>1257</w:t>
            </w:r>
          </w:p>
        </w:tc>
      </w:tr>
    </w:tbl>
    <w:p>
      <w:pPr>
        <w:pStyle w:val="Normal"/>
        <w:jc w:val="end"/>
        <w:rPr>
          <w:rFonts w:ascii="Tahoma" w:hAnsi="Tahoma" w:cs="Tahoma"/>
          <w:lang w:val="sr-RS"/>
        </w:rPr>
      </w:pPr>
      <w:r>
        <w:rPr>
          <w:rFonts w:eastAsia="Times New Roman" w:cs="Tahoma" w:ascii="Tahoma" w:hAnsi="Tahoma"/>
          <w:bCs/>
          <w:i/>
          <w:iCs/>
          <w:sz w:val="18"/>
          <w:szCs w:val="18"/>
          <w:lang w:val="sr-RS"/>
        </w:rPr>
        <w:t xml:space="preserve">Извор: </w:t>
      </w:r>
      <w:r>
        <w:rPr>
          <w:rFonts w:eastAsia="Times New Roman" w:cs="Tahoma" w:ascii="Tahoma" w:hAnsi="Tahoma"/>
          <w:bCs/>
          <w:i/>
          <w:iCs/>
          <w:sz w:val="18"/>
          <w:szCs w:val="18"/>
          <w:shd w:fill="FFFFFF" w:val="clear"/>
          <w:lang w:val="sr-RS"/>
        </w:rPr>
        <w:t>Годишњи извештај Центра за социјални рад за 2021, 2022, 2023. годину</w:t>
      </w:r>
    </w:p>
    <w:p>
      <w:pPr>
        <w:pStyle w:val="Normal"/>
        <w:jc w:val="end"/>
        <w:rPr>
          <w:rFonts w:ascii="Tahoma" w:hAnsi="Tahoma" w:cs="Tahoma"/>
          <w:lang w:val="sr-RS"/>
        </w:rPr>
      </w:pPr>
      <w:r>
        <w:rPr>
          <w:rFonts w:cs="Tahoma" w:ascii="Tahoma" w:hAnsi="Tahoma"/>
          <w:lang w:val="sr-RS"/>
        </w:rPr>
      </w:r>
    </w:p>
    <w:p>
      <w:pPr>
        <w:pStyle w:val="Heading2"/>
        <w:jc w:val="both"/>
        <w:rPr>
          <w:rFonts w:ascii="Tahoma" w:hAnsi="Tahoma" w:cs="Tahoma"/>
          <w:sz w:val="28"/>
          <w:szCs w:val="28"/>
          <w:lang w:val="sr-RS"/>
        </w:rPr>
      </w:pPr>
      <w:bookmarkStart w:id="39" w:name="_Toc188876963"/>
      <w:bookmarkStart w:id="40" w:name="_Toc188459119"/>
      <w:r>
        <w:rPr>
          <w:rFonts w:cs="Tahoma" w:ascii="Tahoma" w:hAnsi="Tahoma"/>
          <w:sz w:val="28"/>
          <w:szCs w:val="28"/>
          <w:lang w:val="sr-RS"/>
        </w:rPr>
        <w:t xml:space="preserve">Прилог 2 – Табеларни прегледи финансирања социјалне заштите у општини </w:t>
      </w:r>
      <w:bookmarkEnd w:id="40"/>
      <w:r>
        <w:rPr>
          <w:rFonts w:cs="Tahoma" w:ascii="Tahoma" w:hAnsi="Tahoma"/>
          <w:sz w:val="28"/>
          <w:szCs w:val="28"/>
          <w:lang w:val="sr-RS"/>
        </w:rPr>
        <w:t>Беочин</w:t>
      </w:r>
      <w:bookmarkEnd w:id="39"/>
    </w:p>
    <w:p>
      <w:pPr>
        <w:pStyle w:val="Normal"/>
        <w:rPr>
          <w:lang w:val="sr-RS"/>
        </w:rPr>
      </w:pPr>
      <w:r>
        <w:rPr>
          <w:lang w:val="sr-RS"/>
        </w:rPr>
      </w:r>
    </w:p>
    <w:p>
      <w:pPr>
        <w:pStyle w:val="Normal"/>
        <w:spacing w:lineRule="auto" w:line="240" w:before="0" w:after="0"/>
        <w:jc w:val="both"/>
        <w:rPr>
          <w:rFonts w:ascii="Calibri" w:hAnsi="Calibri" w:eastAsia="Calibri" w:cs="Arial"/>
          <w:lang w:val="sr-BA"/>
        </w:rPr>
      </w:pPr>
      <w:r>
        <w:rPr>
          <w:rFonts w:eastAsia="Times New Roman" w:cs="Tahoma" w:ascii="Tahoma" w:hAnsi="Tahoma"/>
          <w:sz w:val="18"/>
          <w:szCs w:val="18"/>
          <w:lang w:val="sr-RS"/>
        </w:rPr>
        <w:t xml:space="preserve">Табела 7.6. </w:t>
      </w:r>
      <w:r>
        <w:rPr>
          <w:rFonts w:cs="Tahoma" w:ascii="Tahoma" w:hAnsi="Tahoma"/>
          <w:color w:val="000000"/>
          <w:sz w:val="18"/>
          <w:szCs w:val="18"/>
          <w:lang w:val="sr-BA"/>
        </w:rPr>
        <w:t>Тренд номиналног и процентуалног  издвајања за социјалну и дечју заштиту у буџету општине Беочин</w:t>
      </w:r>
      <w:r>
        <w:rPr>
          <w:rFonts w:eastAsia="Times New Roman" w:cs="Tahoma" w:ascii="Tahoma" w:hAnsi="Tahoma"/>
          <w:sz w:val="18"/>
          <w:szCs w:val="18"/>
          <w:lang w:val="sr-RS"/>
        </w:rPr>
        <w:t xml:space="preserve"> </w:t>
      </w:r>
    </w:p>
    <w:tbl>
      <w:tblPr>
        <w:tblStyle w:val="GridTable21"/>
        <w:tblW w:w="9458"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3001"/>
        <w:gridCol w:w="1053"/>
        <w:gridCol w:w="1041"/>
        <w:gridCol w:w="1107"/>
        <w:gridCol w:w="1109"/>
        <w:gridCol w:w="1012"/>
        <w:gridCol w:w="1134"/>
      </w:tblGrid>
      <w:tr>
        <w:trPr>
          <w:trHeight w:val="329" w:hRule="atLeast"/>
          <w:cnfStyle w:val="100000000000" w:firstRow="1" w:lastRow="0" w:firstColumn="0" w:lastColumn="0" w:oddVBand="0" w:evenVBand="0" w:oddHBand="0" w:evenHBand="0" w:firstRowFirstColumn="0" w:firstRowLastColumn="0" w:lastRowFirstColumn="0" w:lastRowLastColumn="0"/>
        </w:trPr>
        <w:tc>
          <w:tcPr>
            <w:tcW w:w="9457" w:type="dxa"/>
            <w:gridSpan w:val="7"/>
            <w:cnfStyle w:val="001000000000" w:firstRow="0" w:lastRow="0" w:firstColumn="1" w:lastColumn="0" w:oddVBand="0" w:evenVBand="0" w:oddHBand="0" w:evenHBand="0" w:firstRowFirstColumn="0" w:firstRowLastColumn="0" w:lastRowFirstColumn="0" w:lastRowLastColumn="0"/>
            <w:tcBorders>
              <w:bottom w:val="single" w:sz="12" w:space="0" w:color="666666"/>
            </w:tcBorders>
            <w:shd w:color="auto" w:fill="FFFFFF" w:val="clear"/>
          </w:tcPr>
          <w:p>
            <w:pPr>
              <w:pStyle w:val="Normal"/>
              <w:widowControl w:val="false"/>
              <w:suppressAutoHyphens w:val="true"/>
              <w:spacing w:lineRule="auto" w:line="240" w:before="0" w:after="0"/>
              <w:ind w:start="7080" w:hanging="0"/>
              <w:jc w:val="both"/>
              <w:rPr>
                <w:rFonts w:ascii="Tahoma" w:hAnsi="Tahoma" w:cs="Tahoma"/>
                <w:b w:val="false"/>
                <w:b w:val="false"/>
                <w:i/>
                <w:i/>
                <w:color w:val="000000"/>
                <w:sz w:val="16"/>
                <w:szCs w:val="16"/>
                <w:lang w:val="sr-BA"/>
              </w:rPr>
            </w:pPr>
            <w:r>
              <w:rPr>
                <w:rFonts w:eastAsia="Times New Roman" w:cs="Tahoma" w:ascii="Tahoma" w:hAnsi="Tahoma"/>
                <w:b w:val="false"/>
                <w:bCs/>
                <w:i/>
                <w:color w:val="000000"/>
                <w:kern w:val="0"/>
                <w:sz w:val="16"/>
                <w:szCs w:val="16"/>
                <w:lang w:val="sr-BA" w:eastAsia="en-US" w:bidi="ar-SA"/>
              </w:rPr>
              <w:t xml:space="preserve">        </w:t>
            </w:r>
            <w:r>
              <w:rPr>
                <w:rFonts w:eastAsia="Times New Roman" w:cs="Tahoma" w:ascii="Tahoma" w:hAnsi="Tahoma"/>
                <w:b w:val="false"/>
                <w:bCs/>
                <w:i/>
                <w:color w:val="000000"/>
                <w:kern w:val="0"/>
                <w:sz w:val="16"/>
                <w:szCs w:val="16"/>
                <w:lang w:val="sr-BA" w:eastAsia="en-US" w:bidi="ar-SA"/>
              </w:rPr>
              <w:t>У хиљадама динара</w:t>
            </w:r>
          </w:p>
        </w:tc>
      </w:tr>
      <w:tr>
        <w:trPr>
          <w:trHeight w:val="329" w:hRule="atLeast"/>
          <w:cnfStyle w:val="000000100000" w:firstRow="0" w:lastRow="0" w:firstColumn="0" w:lastColumn="0" w:oddVBand="0" w:evenVBand="0" w:oddHBand="1" w:evenHBand="0" w:firstRowFirstColumn="0" w:firstRowLastColumn="0" w:lastRowFirstColumn="0" w:lastRowLastColumn="0"/>
        </w:trPr>
        <w:tc>
          <w:tcPr>
            <w:tcW w:w="3001" w:type="dxa"/>
            <w:cnfStyle w:val="001000000000" w:firstRow="0" w:lastRow="0" w:firstColumn="1" w:lastColumn="0" w:oddVBand="0" w:evenVBand="0" w:oddHBand="0" w:evenHBand="0" w:firstRowFirstColumn="0" w:firstRowLastColumn="0" w:lastRowFirstColumn="0" w:lastRowLastColumn="0"/>
            <w:tcBorders>
              <w:start w:val="single" w:sz="4" w:space="0" w:color="000000"/>
              <w:end w:val="single" w:sz="2" w:space="0" w:color="666666"/>
            </w:tcBorders>
            <w:shd w:color="auto" w:fill="D9E2F3" w:val="clear"/>
          </w:tcPr>
          <w:p>
            <w:pPr>
              <w:pStyle w:val="Normal"/>
              <w:widowControl w:val="false"/>
              <w:suppressAutoHyphens w:val="true"/>
              <w:spacing w:lineRule="auto" w:line="240" w:before="0" w:after="0"/>
              <w:jc w:val="both"/>
              <w:rPr>
                <w:rFonts w:ascii="Tahoma" w:hAnsi="Tahoma" w:cs="Tahoma"/>
                <w:color w:val="000000"/>
                <w:sz w:val="18"/>
                <w:szCs w:val="18"/>
                <w:lang w:val="sr-BA"/>
              </w:rPr>
            </w:pPr>
            <w:r>
              <w:rPr>
                <w:rFonts w:cs="Tahoma" w:ascii="Tahoma" w:hAnsi="Tahoma"/>
                <w:b/>
                <w:bCs/>
                <w:color w:val="000000"/>
                <w:sz w:val="18"/>
                <w:szCs w:val="18"/>
                <w:lang w:val="sr-BA"/>
              </w:rPr>
            </w:r>
          </w:p>
        </w:tc>
        <w:tc>
          <w:tcPr>
            <w:tcW w:w="2094" w:type="dxa"/>
            <w:gridSpan w:val="2"/>
            <w:tcBorders>
              <w:start w:val="single" w:sz="2" w:space="0" w:color="666666"/>
              <w:end w:val="single" w:sz="2" w:space="0" w:color="666666"/>
            </w:tcBorders>
            <w:shd w:color="auto" w:fill="D9E2F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cs="Tahoma"/>
                <w:b/>
                <w:b/>
                <w:color w:val="000000"/>
                <w:sz w:val="18"/>
                <w:szCs w:val="18"/>
                <w:lang w:val="sr-BA"/>
              </w:rPr>
            </w:pPr>
            <w:r>
              <w:rPr>
                <w:rFonts w:eastAsia="Times New Roman" w:cs="Tahoma" w:ascii="Tahoma" w:hAnsi="Tahoma"/>
                <w:b/>
                <w:color w:val="000000"/>
                <w:kern w:val="0"/>
                <w:sz w:val="18"/>
                <w:szCs w:val="18"/>
                <w:lang w:val="sr-BA" w:eastAsia="en-US" w:bidi="ar-SA"/>
              </w:rPr>
              <w:t>2021. година</w:t>
            </w:r>
          </w:p>
        </w:tc>
        <w:tc>
          <w:tcPr>
            <w:tcW w:w="2216" w:type="dxa"/>
            <w:gridSpan w:val="2"/>
            <w:tcBorders>
              <w:start w:val="single" w:sz="2" w:space="0" w:color="666666"/>
              <w:end w:val="single" w:sz="2" w:space="0" w:color="666666"/>
            </w:tcBorders>
            <w:shd w:color="auto" w:fill="D9E2F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cs="Tahoma"/>
                <w:b/>
                <w:b/>
                <w:color w:val="000000"/>
                <w:sz w:val="18"/>
                <w:szCs w:val="18"/>
                <w:lang w:val="sr-BA"/>
              </w:rPr>
            </w:pPr>
            <w:r>
              <w:rPr>
                <w:rFonts w:eastAsia="Times New Roman" w:cs="Tahoma" w:ascii="Tahoma" w:hAnsi="Tahoma"/>
                <w:b/>
                <w:color w:val="000000"/>
                <w:kern w:val="0"/>
                <w:sz w:val="18"/>
                <w:szCs w:val="18"/>
                <w:lang w:val="sr-BA" w:eastAsia="en-US" w:bidi="ar-SA"/>
              </w:rPr>
              <w:t>2022. година</w:t>
            </w:r>
          </w:p>
        </w:tc>
        <w:tc>
          <w:tcPr>
            <w:tcW w:w="2146" w:type="dxa"/>
            <w:gridSpan w:val="2"/>
            <w:tcBorders>
              <w:start w:val="single" w:sz="2" w:space="0" w:color="666666"/>
              <w:end w:val="single" w:sz="4" w:space="0" w:color="000000"/>
            </w:tcBorders>
            <w:shd w:color="auto" w:fill="D9E2F3" w:val="clear"/>
          </w:tcPr>
          <w:p>
            <w:pPr>
              <w:pStyle w:val="Normal"/>
              <w:widowControl w:val="false"/>
              <w:suppressAutoHyphens w:val="true"/>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Tahoma" w:hAnsi="Tahoma" w:cs="Tahoma"/>
                <w:b/>
                <w:b/>
                <w:color w:val="000000"/>
                <w:sz w:val="18"/>
                <w:szCs w:val="18"/>
                <w:lang w:val="sr-BA"/>
              </w:rPr>
            </w:pPr>
            <w:r>
              <w:rPr>
                <w:rFonts w:eastAsia="Times New Roman" w:cs="Tahoma" w:ascii="Tahoma" w:hAnsi="Tahoma"/>
                <w:b/>
                <w:color w:val="000000"/>
                <w:kern w:val="0"/>
                <w:sz w:val="18"/>
                <w:szCs w:val="18"/>
                <w:lang w:val="sr-BA" w:eastAsia="en-US" w:bidi="ar-SA"/>
              </w:rPr>
              <w:t>2023. година</w:t>
            </w:r>
          </w:p>
        </w:tc>
      </w:tr>
      <w:tr>
        <w:trPr>
          <w:trHeight w:val="565" w:hRule="atLeast"/>
        </w:trPr>
        <w:tc>
          <w:tcPr>
            <w:tcW w:w="3001" w:type="dxa"/>
            <w:cnfStyle w:val="001000000000" w:firstRow="0" w:lastRow="0" w:firstColumn="1" w:lastColumn="0" w:oddVBand="0" w:evenVBand="0" w:oddHBand="0" w:evenHBand="0" w:firstRowFirstColumn="0" w:firstRowLastColumn="0" w:lastRowFirstColumn="0" w:lastRowLastColumn="0"/>
            <w:tcBorders>
              <w:start w:val="single" w:sz="4" w:space="0" w:color="000000"/>
              <w:end w:val="single" w:sz="2" w:space="0" w:color="666666"/>
            </w:tcBorders>
            <w:vAlign w:val="center"/>
          </w:tcPr>
          <w:p>
            <w:pPr>
              <w:pStyle w:val="Normal"/>
              <w:widowControl w:val="false"/>
              <w:suppressAutoHyphens w:val="true"/>
              <w:spacing w:lineRule="auto" w:line="240" w:before="0" w:after="0"/>
              <w:jc w:val="start"/>
              <w:rPr>
                <w:rFonts w:ascii="Tahoma" w:hAnsi="Tahoma" w:cs="Tahoma"/>
                <w:color w:val="000000"/>
                <w:sz w:val="18"/>
                <w:szCs w:val="18"/>
                <w:lang w:val="sr-BA"/>
              </w:rPr>
            </w:pPr>
            <w:r>
              <w:rPr>
                <w:rFonts w:eastAsia="Times New Roman" w:cs="Tahoma" w:ascii="Tahoma" w:hAnsi="Tahoma"/>
                <w:b/>
                <w:bCs/>
                <w:color w:val="000000"/>
                <w:kern w:val="0"/>
                <w:sz w:val="18"/>
                <w:szCs w:val="18"/>
                <w:lang w:val="sr-BA" w:eastAsia="en-US" w:bidi="ar-SA"/>
              </w:rPr>
              <w:t>Опис</w:t>
            </w:r>
          </w:p>
        </w:tc>
        <w:tc>
          <w:tcPr>
            <w:tcW w:w="1053"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color w:val="000000"/>
                <w:kern w:val="0"/>
                <w:sz w:val="18"/>
                <w:szCs w:val="18"/>
                <w:lang w:val="sr-BA" w:eastAsia="en-US" w:bidi="ar-SA"/>
              </w:rPr>
              <w:t>Одлука о буџету</w:t>
            </w:r>
          </w:p>
        </w:tc>
        <w:tc>
          <w:tcPr>
            <w:tcW w:w="1041"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color w:val="000000"/>
                <w:kern w:val="0"/>
                <w:sz w:val="18"/>
                <w:szCs w:val="18"/>
                <w:lang w:val="sr-BA" w:eastAsia="en-US" w:bidi="ar-SA"/>
              </w:rPr>
              <w:t>Завршни рачун</w:t>
            </w:r>
          </w:p>
        </w:tc>
        <w:tc>
          <w:tcPr>
            <w:tcW w:w="1107"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color w:val="000000"/>
                <w:kern w:val="0"/>
                <w:sz w:val="18"/>
                <w:szCs w:val="18"/>
                <w:lang w:val="sr-BA" w:eastAsia="en-US" w:bidi="ar-SA"/>
              </w:rPr>
              <w:t>Одлука о буџету</w:t>
            </w:r>
          </w:p>
        </w:tc>
        <w:tc>
          <w:tcPr>
            <w:tcW w:w="1109"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color w:val="000000"/>
                <w:kern w:val="0"/>
                <w:sz w:val="18"/>
                <w:szCs w:val="18"/>
                <w:lang w:val="sr-BA" w:eastAsia="en-US" w:bidi="ar-SA"/>
              </w:rPr>
              <w:t>Завршни рачун</w:t>
            </w:r>
          </w:p>
        </w:tc>
        <w:tc>
          <w:tcPr>
            <w:tcW w:w="1012"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color w:val="000000"/>
                <w:kern w:val="0"/>
                <w:sz w:val="18"/>
                <w:szCs w:val="18"/>
                <w:lang w:val="sr-BA" w:eastAsia="en-US" w:bidi="ar-SA"/>
              </w:rPr>
              <w:t>Одлука      о буџету</w:t>
            </w:r>
          </w:p>
        </w:tc>
        <w:tc>
          <w:tcPr>
            <w:tcW w:w="1134" w:type="dxa"/>
            <w:tcBorders>
              <w:start w:val="single" w:sz="2" w:space="0" w:color="666666"/>
              <w:end w:val="single" w:sz="4" w:space="0" w:color="000000"/>
            </w:tcBorders>
            <w:vAlign w:val="center"/>
          </w:tcPr>
          <w:p>
            <w:pPr>
              <w:pStyle w:val="Normal"/>
              <w:widowControl w:val="false"/>
              <w:suppressAutoHyphens w:val="true"/>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color w:val="000000"/>
                <w:kern w:val="0"/>
                <w:sz w:val="18"/>
                <w:szCs w:val="18"/>
                <w:lang w:val="sr-BA" w:eastAsia="en-US" w:bidi="ar-SA"/>
              </w:rPr>
              <w:t>Завршни рачун</w:t>
            </w:r>
          </w:p>
        </w:tc>
      </w:tr>
      <w:tr>
        <w:trPr>
          <w:trHeight w:val="472" w:hRule="atLeast"/>
          <w:cnfStyle w:val="000000100000" w:firstRow="0" w:lastRow="0" w:firstColumn="0" w:lastColumn="0" w:oddVBand="0" w:evenVBand="0" w:oddHBand="1" w:evenHBand="0" w:firstRowFirstColumn="0" w:firstRowLastColumn="0" w:lastRowFirstColumn="0" w:lastRowLastColumn="0"/>
        </w:trPr>
        <w:tc>
          <w:tcPr>
            <w:tcW w:w="3001" w:type="dxa"/>
            <w:cnfStyle w:val="001000000000" w:firstRow="0" w:lastRow="0" w:firstColumn="1" w:lastColumn="0" w:oddVBand="0" w:evenVBand="0" w:oddHBand="0" w:evenHBand="0" w:firstRowFirstColumn="0" w:firstRowLastColumn="0" w:lastRowFirstColumn="0" w:lastRowLastColumn="0"/>
            <w:tcBorders>
              <w:start w:val="single" w:sz="4" w:space="0" w:color="000000"/>
              <w:end w:val="single" w:sz="2" w:space="0" w:color="666666"/>
            </w:tcBorders>
            <w:shd w:color="auto" w:fill="D9E2F3" w:val="clear"/>
            <w:vAlign w:val="center"/>
          </w:tcPr>
          <w:p>
            <w:pPr>
              <w:pStyle w:val="Normal"/>
              <w:widowControl w:val="false"/>
              <w:suppressAutoHyphens w:val="true"/>
              <w:spacing w:lineRule="auto" w:line="240" w:before="0" w:after="0"/>
              <w:jc w:val="start"/>
              <w:rPr>
                <w:rFonts w:ascii="Tahoma" w:hAnsi="Tahoma" w:cs="Tahoma"/>
                <w:color w:val="000000"/>
                <w:sz w:val="18"/>
                <w:szCs w:val="18"/>
                <w:lang w:val="sr-BA"/>
              </w:rPr>
            </w:pPr>
            <w:r>
              <w:rPr>
                <w:rFonts w:eastAsia="Times New Roman" w:cs="Tahoma" w:ascii="Tahoma" w:hAnsi="Tahoma"/>
                <w:b/>
                <w:bCs/>
                <w:color w:val="000000"/>
                <w:kern w:val="0"/>
                <w:sz w:val="18"/>
                <w:szCs w:val="18"/>
                <w:lang w:val="sr-BA" w:eastAsia="en-US" w:bidi="ar-SA"/>
              </w:rPr>
              <w:t>Укупан буџет Општине</w:t>
            </w:r>
          </w:p>
        </w:tc>
        <w:tc>
          <w:tcPr>
            <w:tcW w:w="1053" w:type="dxa"/>
            <w:tcBorders>
              <w:start w:val="single" w:sz="2" w:space="0" w:color="666666"/>
              <w:end w:val="single" w:sz="2" w:space="0" w:color="666666"/>
            </w:tcBorders>
            <w:shd w:color="auto" w:fill="D9E2F3"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718.000</w:t>
            </w:r>
          </w:p>
        </w:tc>
        <w:tc>
          <w:tcPr>
            <w:tcW w:w="1041" w:type="dxa"/>
            <w:tcBorders>
              <w:start w:val="single" w:sz="2" w:space="0" w:color="666666"/>
              <w:end w:val="single" w:sz="2" w:space="0" w:color="666666"/>
            </w:tcBorders>
            <w:shd w:color="auto" w:fill="D9E2F3"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858.466</w:t>
            </w:r>
          </w:p>
        </w:tc>
        <w:tc>
          <w:tcPr>
            <w:tcW w:w="1107" w:type="dxa"/>
            <w:tcBorders>
              <w:start w:val="single" w:sz="2" w:space="0" w:color="666666"/>
              <w:end w:val="single" w:sz="2" w:space="0" w:color="666666"/>
            </w:tcBorders>
            <w:shd w:color="auto" w:fill="D9E2F3"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1.155.000</w:t>
            </w:r>
          </w:p>
        </w:tc>
        <w:tc>
          <w:tcPr>
            <w:tcW w:w="1109" w:type="dxa"/>
            <w:tcBorders>
              <w:start w:val="single" w:sz="2" w:space="0" w:color="666666"/>
              <w:end w:val="single" w:sz="2" w:space="0" w:color="666666"/>
            </w:tcBorders>
            <w:shd w:color="auto" w:fill="D9E2F3"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1.052.608</w:t>
            </w:r>
          </w:p>
        </w:tc>
        <w:tc>
          <w:tcPr>
            <w:tcW w:w="1012" w:type="dxa"/>
            <w:tcBorders>
              <w:start w:val="single" w:sz="2" w:space="0" w:color="666666"/>
              <w:end w:val="single" w:sz="2" w:space="0" w:color="666666"/>
            </w:tcBorders>
            <w:shd w:color="auto" w:fill="D9E2F3"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900.000</w:t>
            </w:r>
          </w:p>
        </w:tc>
        <w:tc>
          <w:tcPr>
            <w:tcW w:w="1134" w:type="dxa"/>
            <w:tcBorders>
              <w:start w:val="single" w:sz="2" w:space="0" w:color="666666"/>
              <w:end w:val="single" w:sz="4" w:space="0" w:color="000000"/>
            </w:tcBorders>
            <w:shd w:color="auto" w:fill="D9E2F3"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928.524</w:t>
            </w:r>
          </w:p>
        </w:tc>
      </w:tr>
      <w:tr>
        <w:trPr>
          <w:trHeight w:val="472" w:hRule="atLeast"/>
        </w:trPr>
        <w:tc>
          <w:tcPr>
            <w:tcW w:w="3001" w:type="dxa"/>
            <w:cnfStyle w:val="001000000000" w:firstRow="0" w:lastRow="0" w:firstColumn="1" w:lastColumn="0" w:oddVBand="0" w:evenVBand="0" w:oddHBand="0" w:evenHBand="0" w:firstRowFirstColumn="0" w:firstRowLastColumn="0" w:lastRowFirstColumn="0" w:lastRowLastColumn="0"/>
            <w:tcBorders>
              <w:start w:val="single" w:sz="4" w:space="0" w:color="000000"/>
              <w:end w:val="single" w:sz="2" w:space="0" w:color="666666"/>
            </w:tcBorders>
            <w:vAlign w:val="center"/>
          </w:tcPr>
          <w:p>
            <w:pPr>
              <w:pStyle w:val="Normal"/>
              <w:widowControl w:val="false"/>
              <w:suppressAutoHyphens w:val="true"/>
              <w:spacing w:lineRule="auto" w:line="240" w:before="0" w:after="0"/>
              <w:jc w:val="start"/>
              <w:rPr>
                <w:rFonts w:ascii="Tahoma" w:hAnsi="Tahoma" w:cs="Tahoma"/>
                <w:color w:val="000000"/>
                <w:sz w:val="18"/>
                <w:szCs w:val="18"/>
                <w:lang w:val="sr-BA"/>
              </w:rPr>
            </w:pPr>
            <w:r>
              <w:rPr>
                <w:rFonts w:eastAsia="Times New Roman" w:cs="Tahoma" w:ascii="Tahoma" w:hAnsi="Tahoma"/>
                <w:b/>
                <w:bCs/>
                <w:kern w:val="0"/>
                <w:sz w:val="18"/>
                <w:szCs w:val="18"/>
                <w:lang w:val="sr-BA" w:eastAsia="en-US" w:bidi="ar-SA"/>
              </w:rPr>
              <w:t>Издвајања за функцију Социјална заштита (шифра 0)</w:t>
            </w:r>
          </w:p>
        </w:tc>
        <w:tc>
          <w:tcPr>
            <w:tcW w:w="1053"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23.300</w:t>
            </w:r>
          </w:p>
        </w:tc>
        <w:tc>
          <w:tcPr>
            <w:tcW w:w="1041"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23.034</w:t>
            </w:r>
          </w:p>
        </w:tc>
        <w:tc>
          <w:tcPr>
            <w:tcW w:w="1107"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31.020</w:t>
            </w:r>
          </w:p>
        </w:tc>
        <w:tc>
          <w:tcPr>
            <w:tcW w:w="1109"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33.525</w:t>
            </w:r>
          </w:p>
        </w:tc>
        <w:tc>
          <w:tcPr>
            <w:tcW w:w="1012"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28.760</w:t>
            </w:r>
          </w:p>
        </w:tc>
        <w:tc>
          <w:tcPr>
            <w:tcW w:w="1134" w:type="dxa"/>
            <w:tcBorders>
              <w:start w:val="single" w:sz="2" w:space="0" w:color="666666"/>
              <w:end w:val="single" w:sz="4" w:space="0" w:color="000000"/>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38.042</w:t>
            </w:r>
          </w:p>
        </w:tc>
      </w:tr>
      <w:tr>
        <w:trPr>
          <w:trHeight w:val="329" w:hRule="atLeast"/>
          <w:cnfStyle w:val="000000100000" w:firstRow="0" w:lastRow="0" w:firstColumn="0" w:lastColumn="0" w:oddVBand="0" w:evenVBand="0" w:oddHBand="1" w:evenHBand="0" w:firstRowFirstColumn="0" w:firstRowLastColumn="0" w:lastRowFirstColumn="0" w:lastRowLastColumn="0"/>
        </w:trPr>
        <w:tc>
          <w:tcPr>
            <w:tcW w:w="3001" w:type="dxa"/>
            <w:cnfStyle w:val="001000000000" w:firstRow="0" w:lastRow="0" w:firstColumn="1" w:lastColumn="0" w:oddVBand="0" w:evenVBand="0" w:oddHBand="0" w:evenHBand="0" w:firstRowFirstColumn="0" w:firstRowLastColumn="0" w:lastRowFirstColumn="0" w:lastRowLastColumn="0"/>
            <w:tcBorders>
              <w:start w:val="single" w:sz="4" w:space="0" w:color="000000"/>
              <w:end w:val="single" w:sz="2" w:space="0" w:color="666666"/>
            </w:tcBorders>
            <w:shd w:color="auto" w:fill="EDF1F9" w:val="clear"/>
            <w:vAlign w:val="center"/>
          </w:tcPr>
          <w:p>
            <w:pPr>
              <w:pStyle w:val="Normal"/>
              <w:widowControl w:val="false"/>
              <w:suppressAutoHyphens w:val="true"/>
              <w:spacing w:lineRule="auto" w:line="240" w:before="0" w:after="0"/>
              <w:jc w:val="both"/>
              <w:rPr>
                <w:rFonts w:ascii="Tahoma" w:hAnsi="Tahoma" w:cs="Tahoma"/>
                <w:color w:val="000000"/>
                <w:sz w:val="18"/>
                <w:szCs w:val="18"/>
                <w:lang w:val="sr-BA"/>
              </w:rPr>
            </w:pPr>
            <w:r>
              <w:rPr>
                <w:rFonts w:eastAsia="Times New Roman" w:cs="Tahoma" w:ascii="Tahoma" w:hAnsi="Tahoma"/>
                <w:b/>
                <w:bCs/>
                <w:color w:val="000000"/>
                <w:kern w:val="0"/>
                <w:sz w:val="18"/>
                <w:szCs w:val="18"/>
                <w:lang w:val="sr-BA" w:eastAsia="en-US" w:bidi="ar-SA"/>
              </w:rPr>
              <w:t>Проценат издвајања за функцију „0“ - Социјална заштита, у односу на укупан буџет</w:t>
            </w:r>
          </w:p>
        </w:tc>
        <w:tc>
          <w:tcPr>
            <w:tcW w:w="1053"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3,2%</w:t>
            </w:r>
          </w:p>
        </w:tc>
        <w:tc>
          <w:tcPr>
            <w:tcW w:w="1041"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2,7%</w:t>
            </w:r>
          </w:p>
        </w:tc>
        <w:tc>
          <w:tcPr>
            <w:tcW w:w="1107"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2,7%</w:t>
            </w:r>
          </w:p>
        </w:tc>
        <w:tc>
          <w:tcPr>
            <w:tcW w:w="1109"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3,2%</w:t>
            </w:r>
          </w:p>
        </w:tc>
        <w:tc>
          <w:tcPr>
            <w:tcW w:w="1012"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3,2%</w:t>
            </w:r>
          </w:p>
        </w:tc>
        <w:tc>
          <w:tcPr>
            <w:tcW w:w="1134" w:type="dxa"/>
            <w:tcBorders>
              <w:start w:val="single" w:sz="2" w:space="0" w:color="666666"/>
              <w:end w:val="single" w:sz="4" w:space="0" w:color="000000"/>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4,1%</w:t>
            </w:r>
          </w:p>
        </w:tc>
      </w:tr>
      <w:tr>
        <w:trPr>
          <w:trHeight w:val="329" w:hRule="atLeast"/>
        </w:trPr>
        <w:tc>
          <w:tcPr>
            <w:tcW w:w="3001" w:type="dxa"/>
            <w:cnfStyle w:val="001000000000" w:firstRow="0" w:lastRow="0" w:firstColumn="1" w:lastColumn="0" w:oddVBand="0" w:evenVBand="0" w:oddHBand="0" w:evenHBand="0" w:firstRowFirstColumn="0" w:firstRowLastColumn="0" w:lastRowFirstColumn="0" w:lastRowLastColumn="0"/>
            <w:tcBorders>
              <w:start w:val="single" w:sz="4" w:space="0" w:color="000000"/>
              <w:end w:val="single" w:sz="2" w:space="0" w:color="666666"/>
            </w:tcBorders>
            <w:vAlign w:val="center"/>
          </w:tcPr>
          <w:p>
            <w:pPr>
              <w:pStyle w:val="Normal"/>
              <w:widowControl w:val="false"/>
              <w:suppressAutoHyphens w:val="true"/>
              <w:spacing w:lineRule="auto" w:line="240" w:before="0" w:after="0"/>
              <w:jc w:val="start"/>
              <w:rPr>
                <w:rFonts w:ascii="Tahoma" w:hAnsi="Tahoma" w:cs="Tahoma"/>
                <w:color w:val="000000"/>
                <w:sz w:val="18"/>
                <w:szCs w:val="18"/>
                <w:lang w:val="sr-BA"/>
              </w:rPr>
            </w:pPr>
            <w:r>
              <w:rPr>
                <w:rFonts w:eastAsia="Times New Roman" w:cs="Tahoma" w:ascii="Tahoma" w:hAnsi="Tahoma"/>
                <w:b/>
                <w:bCs/>
                <w:color w:val="000000"/>
                <w:kern w:val="0"/>
                <w:sz w:val="18"/>
                <w:szCs w:val="18"/>
                <w:lang w:val="sr-BA" w:eastAsia="en-US" w:bidi="ar-SA"/>
              </w:rPr>
              <w:t>Издвајања за Програм 11 – Социјална и дечија заштита</w:t>
            </w:r>
          </w:p>
        </w:tc>
        <w:tc>
          <w:tcPr>
            <w:tcW w:w="1053"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37.700</w:t>
            </w:r>
          </w:p>
        </w:tc>
        <w:tc>
          <w:tcPr>
            <w:tcW w:w="1041"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39.905</w:t>
            </w:r>
          </w:p>
        </w:tc>
        <w:tc>
          <w:tcPr>
            <w:tcW w:w="1107"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69.020</w:t>
            </w:r>
          </w:p>
        </w:tc>
        <w:tc>
          <w:tcPr>
            <w:tcW w:w="1109"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76.449</w:t>
            </w:r>
          </w:p>
        </w:tc>
        <w:tc>
          <w:tcPr>
            <w:tcW w:w="1012"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76.260</w:t>
            </w:r>
          </w:p>
        </w:tc>
        <w:tc>
          <w:tcPr>
            <w:tcW w:w="1134" w:type="dxa"/>
            <w:tcBorders>
              <w:start w:val="single" w:sz="2" w:space="0" w:color="666666"/>
              <w:end w:val="single" w:sz="4" w:space="0" w:color="000000"/>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70.993</w:t>
            </w:r>
          </w:p>
        </w:tc>
      </w:tr>
      <w:tr>
        <w:trPr>
          <w:trHeight w:val="329" w:hRule="atLeast"/>
          <w:cnfStyle w:val="000000100000" w:firstRow="0" w:lastRow="0" w:firstColumn="0" w:lastColumn="0" w:oddVBand="0" w:evenVBand="0" w:oddHBand="1" w:evenHBand="0" w:firstRowFirstColumn="0" w:firstRowLastColumn="0" w:lastRowFirstColumn="0" w:lastRowLastColumn="0"/>
        </w:trPr>
        <w:tc>
          <w:tcPr>
            <w:tcW w:w="3001" w:type="dxa"/>
            <w:cnfStyle w:val="001000000000" w:firstRow="0" w:lastRow="0" w:firstColumn="1" w:lastColumn="0" w:oddVBand="0" w:evenVBand="0" w:oddHBand="0" w:evenHBand="0" w:firstRowFirstColumn="0" w:firstRowLastColumn="0" w:lastRowFirstColumn="0" w:lastRowLastColumn="0"/>
            <w:tcBorders>
              <w:start w:val="single" w:sz="4" w:space="0" w:color="000000"/>
              <w:end w:val="single" w:sz="2" w:space="0" w:color="666666"/>
            </w:tcBorders>
            <w:shd w:color="auto" w:fill="EDF1F9" w:val="clear"/>
            <w:vAlign w:val="center"/>
          </w:tcPr>
          <w:p>
            <w:pPr>
              <w:pStyle w:val="Normal"/>
              <w:widowControl w:val="false"/>
              <w:suppressAutoHyphens w:val="true"/>
              <w:spacing w:lineRule="auto" w:line="240" w:before="0" w:after="0"/>
              <w:jc w:val="start"/>
              <w:rPr>
                <w:rFonts w:ascii="Tahoma" w:hAnsi="Tahoma" w:cs="Tahoma"/>
                <w:color w:val="000000"/>
                <w:sz w:val="18"/>
                <w:szCs w:val="18"/>
                <w:lang w:val="sr-BA"/>
              </w:rPr>
            </w:pPr>
            <w:r>
              <w:rPr>
                <w:rFonts w:eastAsia="Times New Roman" w:cs="Tahoma" w:ascii="Tahoma" w:hAnsi="Tahoma"/>
                <w:b/>
                <w:bCs/>
                <w:color w:val="000000"/>
                <w:kern w:val="0"/>
                <w:sz w:val="18"/>
                <w:szCs w:val="18"/>
                <w:lang w:val="sr-BA" w:eastAsia="en-US" w:bidi="ar-SA"/>
              </w:rPr>
              <w:t>Проценат издвајања за Програм 11 – Социјална и дечија заштита у односу на укупан буџет</w:t>
            </w:r>
          </w:p>
        </w:tc>
        <w:tc>
          <w:tcPr>
            <w:tcW w:w="1053"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5,3%</w:t>
            </w:r>
          </w:p>
        </w:tc>
        <w:tc>
          <w:tcPr>
            <w:tcW w:w="1041"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4,6%</w:t>
            </w:r>
          </w:p>
        </w:tc>
        <w:tc>
          <w:tcPr>
            <w:tcW w:w="1107"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6,0%</w:t>
            </w:r>
          </w:p>
        </w:tc>
        <w:tc>
          <w:tcPr>
            <w:tcW w:w="1109"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7,3%</w:t>
            </w:r>
          </w:p>
        </w:tc>
        <w:tc>
          <w:tcPr>
            <w:tcW w:w="1012"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8,5%</w:t>
            </w:r>
          </w:p>
        </w:tc>
        <w:tc>
          <w:tcPr>
            <w:tcW w:w="1134" w:type="dxa"/>
            <w:tcBorders>
              <w:start w:val="single" w:sz="2" w:space="0" w:color="666666"/>
              <w:end w:val="single" w:sz="4" w:space="0" w:color="000000"/>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7,6%</w:t>
            </w:r>
          </w:p>
        </w:tc>
      </w:tr>
      <w:tr>
        <w:trPr>
          <w:trHeight w:val="329" w:hRule="atLeast"/>
        </w:trPr>
        <w:tc>
          <w:tcPr>
            <w:tcW w:w="3001" w:type="dxa"/>
            <w:cnfStyle w:val="001000000000" w:firstRow="0" w:lastRow="0" w:firstColumn="1" w:lastColumn="0" w:oddVBand="0" w:evenVBand="0" w:oddHBand="0" w:evenHBand="0" w:firstRowFirstColumn="0" w:firstRowLastColumn="0" w:lastRowFirstColumn="0" w:lastRowLastColumn="0"/>
            <w:tcBorders>
              <w:start w:val="single" w:sz="4" w:space="0" w:color="000000"/>
              <w:end w:val="single" w:sz="2" w:space="0" w:color="666666"/>
            </w:tcBorders>
            <w:vAlign w:val="center"/>
          </w:tcPr>
          <w:p>
            <w:pPr>
              <w:pStyle w:val="Normal"/>
              <w:widowControl w:val="false"/>
              <w:suppressAutoHyphens w:val="true"/>
              <w:spacing w:lineRule="auto" w:line="240" w:before="0" w:after="0"/>
              <w:jc w:val="start"/>
              <w:rPr>
                <w:rFonts w:ascii="Tahoma" w:hAnsi="Tahoma" w:cs="Tahoma"/>
                <w:color w:val="000000"/>
                <w:sz w:val="18"/>
                <w:szCs w:val="18"/>
                <w:lang w:val="sr-BA"/>
              </w:rPr>
            </w:pPr>
            <w:r>
              <w:rPr>
                <w:rFonts w:eastAsia="Times New Roman" w:cs="Tahoma" w:ascii="Tahoma" w:hAnsi="Tahoma"/>
                <w:b/>
                <w:bCs/>
                <w:color w:val="000000"/>
                <w:kern w:val="0"/>
                <w:sz w:val="18"/>
                <w:szCs w:val="18"/>
                <w:lang w:val="sr-BA" w:eastAsia="en-US" w:bidi="ar-SA"/>
              </w:rPr>
              <w:t>Издвајања за мере материјалне подршке</w:t>
            </w:r>
          </w:p>
        </w:tc>
        <w:tc>
          <w:tcPr>
            <w:tcW w:w="1053"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en-GB"/>
              </w:rPr>
            </w:pPr>
            <w:r>
              <w:rPr>
                <w:rFonts w:eastAsia="Times New Roman" w:cs="Tahoma" w:ascii="Tahoma" w:hAnsi="Tahoma"/>
                <w:kern w:val="0"/>
                <w:sz w:val="18"/>
                <w:szCs w:val="18"/>
                <w:lang w:val="en-US" w:eastAsia="en-US" w:bidi="ar-SA"/>
              </w:rPr>
              <w:t>14.000</w:t>
            </w:r>
          </w:p>
        </w:tc>
        <w:tc>
          <w:tcPr>
            <w:tcW w:w="1041"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en-GB"/>
              </w:rPr>
            </w:pPr>
            <w:r>
              <w:rPr>
                <w:rFonts w:eastAsia="Times New Roman" w:cs="Tahoma" w:ascii="Tahoma" w:hAnsi="Tahoma"/>
                <w:kern w:val="0"/>
                <w:sz w:val="18"/>
                <w:szCs w:val="18"/>
                <w:lang w:val="en-US" w:eastAsia="en-US" w:bidi="ar-SA"/>
              </w:rPr>
              <w:t>15.851</w:t>
            </w:r>
          </w:p>
        </w:tc>
        <w:tc>
          <w:tcPr>
            <w:tcW w:w="1107"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22.520</w:t>
            </w:r>
          </w:p>
        </w:tc>
        <w:tc>
          <w:tcPr>
            <w:tcW w:w="1109"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25.408</w:t>
            </w:r>
          </w:p>
        </w:tc>
        <w:tc>
          <w:tcPr>
            <w:tcW w:w="1012"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19.910</w:t>
            </w:r>
          </w:p>
        </w:tc>
        <w:tc>
          <w:tcPr>
            <w:tcW w:w="1134" w:type="dxa"/>
            <w:tcBorders>
              <w:start w:val="single" w:sz="2" w:space="0" w:color="666666"/>
              <w:end w:val="single" w:sz="4" w:space="0" w:color="000000"/>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29.073</w:t>
            </w:r>
          </w:p>
        </w:tc>
      </w:tr>
      <w:tr>
        <w:trPr>
          <w:trHeight w:val="329" w:hRule="atLeast"/>
          <w:cnfStyle w:val="000000100000" w:firstRow="0" w:lastRow="0" w:firstColumn="0" w:lastColumn="0" w:oddVBand="0" w:evenVBand="0" w:oddHBand="1" w:evenHBand="0" w:firstRowFirstColumn="0" w:firstRowLastColumn="0" w:lastRowFirstColumn="0" w:lastRowLastColumn="0"/>
        </w:trPr>
        <w:tc>
          <w:tcPr>
            <w:tcW w:w="3001" w:type="dxa"/>
            <w:cnfStyle w:val="001000000000" w:firstRow="0" w:lastRow="0" w:firstColumn="1" w:lastColumn="0" w:oddVBand="0" w:evenVBand="0" w:oddHBand="0" w:evenHBand="0" w:firstRowFirstColumn="0" w:firstRowLastColumn="0" w:lastRowFirstColumn="0" w:lastRowLastColumn="0"/>
            <w:tcBorders>
              <w:start w:val="single" w:sz="4" w:space="0" w:color="000000"/>
              <w:end w:val="single" w:sz="2" w:space="0" w:color="666666"/>
            </w:tcBorders>
            <w:shd w:color="auto" w:fill="EDF1F9" w:val="clear"/>
            <w:vAlign w:val="center"/>
          </w:tcPr>
          <w:p>
            <w:pPr>
              <w:pStyle w:val="Normal"/>
              <w:widowControl w:val="false"/>
              <w:suppressAutoHyphens w:val="true"/>
              <w:spacing w:lineRule="auto" w:line="240" w:before="0" w:after="0"/>
              <w:jc w:val="start"/>
              <w:rPr>
                <w:rFonts w:ascii="Tahoma" w:hAnsi="Tahoma" w:cs="Tahoma"/>
                <w:color w:val="000000"/>
                <w:sz w:val="18"/>
                <w:szCs w:val="18"/>
                <w:lang w:val="sr-BA"/>
              </w:rPr>
            </w:pPr>
            <w:r>
              <w:rPr>
                <w:rFonts w:eastAsia="Times New Roman" w:cs="Tahoma" w:ascii="Tahoma" w:hAnsi="Tahoma"/>
                <w:b/>
                <w:bCs/>
                <w:color w:val="000000"/>
                <w:kern w:val="0"/>
                <w:sz w:val="18"/>
                <w:szCs w:val="18"/>
                <w:lang w:val="sr-BA" w:eastAsia="en-US" w:bidi="ar-SA"/>
              </w:rPr>
              <w:t>Проценат издвајања за мере материјалне подршке у односу на укупна издвајања за Програм 11</w:t>
            </w:r>
          </w:p>
        </w:tc>
        <w:tc>
          <w:tcPr>
            <w:tcW w:w="1053"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37,1%</w:t>
            </w:r>
          </w:p>
        </w:tc>
        <w:tc>
          <w:tcPr>
            <w:tcW w:w="1041"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39,7%</w:t>
            </w:r>
          </w:p>
        </w:tc>
        <w:tc>
          <w:tcPr>
            <w:tcW w:w="1107"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32,6%</w:t>
            </w:r>
          </w:p>
        </w:tc>
        <w:tc>
          <w:tcPr>
            <w:tcW w:w="1109"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33,2%</w:t>
            </w:r>
          </w:p>
        </w:tc>
        <w:tc>
          <w:tcPr>
            <w:tcW w:w="1012"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26,1%</w:t>
            </w:r>
          </w:p>
        </w:tc>
        <w:tc>
          <w:tcPr>
            <w:tcW w:w="1134" w:type="dxa"/>
            <w:tcBorders>
              <w:start w:val="single" w:sz="2" w:space="0" w:color="666666"/>
              <w:end w:val="single" w:sz="4" w:space="0" w:color="000000"/>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41,0%</w:t>
            </w:r>
          </w:p>
        </w:tc>
      </w:tr>
      <w:tr>
        <w:trPr>
          <w:trHeight w:val="329" w:hRule="atLeast"/>
        </w:trPr>
        <w:tc>
          <w:tcPr>
            <w:tcW w:w="3001" w:type="dxa"/>
            <w:cnfStyle w:val="001000000000" w:firstRow="0" w:lastRow="0" w:firstColumn="1" w:lastColumn="0" w:oddVBand="0" w:evenVBand="0" w:oddHBand="0" w:evenHBand="0" w:firstRowFirstColumn="0" w:firstRowLastColumn="0" w:lastRowFirstColumn="0" w:lastRowLastColumn="0"/>
            <w:tcBorders>
              <w:start w:val="single" w:sz="4" w:space="0" w:color="000000"/>
              <w:end w:val="single" w:sz="2" w:space="0" w:color="666666"/>
            </w:tcBorders>
            <w:vAlign w:val="center"/>
          </w:tcPr>
          <w:p>
            <w:pPr>
              <w:pStyle w:val="Normal"/>
              <w:widowControl w:val="false"/>
              <w:suppressAutoHyphens w:val="true"/>
              <w:spacing w:lineRule="auto" w:line="240" w:before="0" w:after="0"/>
              <w:jc w:val="start"/>
              <w:rPr>
                <w:rFonts w:ascii="Tahoma" w:hAnsi="Tahoma" w:cs="Tahoma"/>
                <w:color w:val="000000"/>
                <w:sz w:val="18"/>
                <w:szCs w:val="18"/>
                <w:lang w:val="sr-BA"/>
              </w:rPr>
            </w:pPr>
            <w:r>
              <w:rPr>
                <w:rFonts w:eastAsia="Times New Roman" w:cs="Tahoma" w:ascii="Tahoma" w:hAnsi="Tahoma"/>
                <w:b/>
                <w:bCs/>
                <w:color w:val="000000"/>
                <w:kern w:val="0"/>
                <w:sz w:val="18"/>
                <w:szCs w:val="18"/>
                <w:lang w:val="sr-BA" w:eastAsia="en-US" w:bidi="ar-SA"/>
              </w:rPr>
              <w:t>Извајања за услуге социјалне заштите - номинално</w:t>
            </w:r>
          </w:p>
        </w:tc>
        <w:tc>
          <w:tcPr>
            <w:tcW w:w="1053" w:type="dxa"/>
            <w:tcBorders>
              <w:start w:val="single" w:sz="2" w:space="0" w:color="666666"/>
              <w:end w:val="single" w:sz="2" w:space="0" w:color="666666"/>
            </w:tcBorders>
            <w:shd w:color="auto" w:fill="auto" w:val="clear"/>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1.000</w:t>
            </w:r>
          </w:p>
        </w:tc>
        <w:tc>
          <w:tcPr>
            <w:tcW w:w="1041"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728</w:t>
            </w:r>
          </w:p>
        </w:tc>
        <w:tc>
          <w:tcPr>
            <w:tcW w:w="1107" w:type="dxa"/>
            <w:tcBorders>
              <w:start w:val="single" w:sz="2" w:space="0" w:color="666666"/>
              <w:end w:val="single" w:sz="2" w:space="0" w:color="666666"/>
            </w:tcBorders>
            <w:shd w:color="auto" w:fill="auto" w:val="clear"/>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1.000</w:t>
            </w:r>
          </w:p>
        </w:tc>
        <w:tc>
          <w:tcPr>
            <w:tcW w:w="1109" w:type="dxa"/>
            <w:tcBorders>
              <w:start w:val="single" w:sz="2" w:space="0" w:color="666666"/>
              <w:end w:val="single" w:sz="2" w:space="0" w:color="666666"/>
            </w:tcBorders>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643</w:t>
            </w:r>
          </w:p>
        </w:tc>
        <w:tc>
          <w:tcPr>
            <w:tcW w:w="1012" w:type="dxa"/>
            <w:tcBorders>
              <w:start w:val="single" w:sz="2" w:space="0" w:color="666666"/>
              <w:end w:val="single" w:sz="2" w:space="0" w:color="666666"/>
            </w:tcBorders>
            <w:shd w:color="auto" w:fill="auto" w:val="clear"/>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800</w:t>
            </w:r>
          </w:p>
        </w:tc>
        <w:tc>
          <w:tcPr>
            <w:tcW w:w="1134" w:type="dxa"/>
            <w:tcBorders>
              <w:start w:val="single" w:sz="2" w:space="0" w:color="666666"/>
              <w:end w:val="single" w:sz="4" w:space="0" w:color="000000"/>
            </w:tcBorders>
            <w:shd w:color="auto" w:fill="auto" w:val="clear"/>
            <w:vAlign w:val="center"/>
          </w:tcPr>
          <w:p>
            <w:pPr>
              <w:pStyle w:val="Normal"/>
              <w:widowControl w:val="false"/>
              <w:suppressAutoHyphens w:val="true"/>
              <w:spacing w:lineRule="auto" w:line="240" w:before="0" w:after="0"/>
              <w:jc w:val="end"/>
              <w:cnfStyle w:val="000000000000" w:firstRow="0" w:lastRow="0" w:firstColumn="0" w:lastColumn="0" w:oddVBand="0" w:evenVBand="0" w:oddHBand="0"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833</w:t>
            </w:r>
          </w:p>
        </w:tc>
      </w:tr>
      <w:tr>
        <w:trPr>
          <w:trHeight w:val="329" w:hRule="atLeast"/>
          <w:cnfStyle w:val="000000100000" w:firstRow="0" w:lastRow="0" w:firstColumn="0" w:lastColumn="0" w:oddVBand="0" w:evenVBand="0" w:oddHBand="1" w:evenHBand="0" w:firstRowFirstColumn="0" w:firstRowLastColumn="0" w:lastRowFirstColumn="0" w:lastRowLastColumn="0"/>
        </w:trPr>
        <w:tc>
          <w:tcPr>
            <w:tcW w:w="3001" w:type="dxa"/>
            <w:cnfStyle w:val="001000000000" w:firstRow="0" w:lastRow="0" w:firstColumn="1" w:lastColumn="0" w:oddVBand="0" w:evenVBand="0" w:oddHBand="0" w:evenHBand="0" w:firstRowFirstColumn="0" w:firstRowLastColumn="0" w:lastRowFirstColumn="0" w:lastRowLastColumn="0"/>
            <w:tcBorders>
              <w:start w:val="single" w:sz="4" w:space="0" w:color="000000"/>
              <w:end w:val="single" w:sz="2" w:space="0" w:color="666666"/>
            </w:tcBorders>
            <w:shd w:color="auto" w:fill="EDF1F9" w:val="clear"/>
            <w:vAlign w:val="center"/>
          </w:tcPr>
          <w:p>
            <w:pPr>
              <w:pStyle w:val="Normal"/>
              <w:widowControl w:val="false"/>
              <w:suppressAutoHyphens w:val="true"/>
              <w:spacing w:lineRule="auto" w:line="240" w:before="0" w:after="0"/>
              <w:jc w:val="start"/>
              <w:rPr>
                <w:rFonts w:ascii="Tahoma" w:hAnsi="Tahoma" w:cs="Tahoma"/>
                <w:color w:val="000000"/>
                <w:sz w:val="18"/>
                <w:szCs w:val="18"/>
                <w:lang w:val="sr-BA"/>
              </w:rPr>
            </w:pPr>
            <w:r>
              <w:rPr>
                <w:rFonts w:eastAsia="Times New Roman" w:cs="Tahoma" w:ascii="Tahoma" w:hAnsi="Tahoma"/>
                <w:b/>
                <w:bCs/>
                <w:color w:val="000000"/>
                <w:kern w:val="0"/>
                <w:sz w:val="18"/>
                <w:szCs w:val="18"/>
                <w:lang w:val="sr-BA" w:eastAsia="en-US" w:bidi="ar-SA"/>
              </w:rPr>
              <w:t>Проценат издвајања за услуге социјалне заштите у односу на укупна издвајања за Програм 11</w:t>
            </w:r>
          </w:p>
        </w:tc>
        <w:tc>
          <w:tcPr>
            <w:tcW w:w="1053"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2,7%</w:t>
            </w:r>
          </w:p>
        </w:tc>
        <w:tc>
          <w:tcPr>
            <w:tcW w:w="1041"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1,8%</w:t>
            </w:r>
          </w:p>
        </w:tc>
        <w:tc>
          <w:tcPr>
            <w:tcW w:w="1107"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1,4%</w:t>
            </w:r>
          </w:p>
        </w:tc>
        <w:tc>
          <w:tcPr>
            <w:tcW w:w="1109"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0,8%</w:t>
            </w:r>
          </w:p>
        </w:tc>
        <w:tc>
          <w:tcPr>
            <w:tcW w:w="1012" w:type="dxa"/>
            <w:tcBorders>
              <w:start w:val="single" w:sz="2" w:space="0" w:color="666666"/>
              <w:end w:val="single" w:sz="2" w:space="0" w:color="666666"/>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1,0%</w:t>
            </w:r>
          </w:p>
        </w:tc>
        <w:tc>
          <w:tcPr>
            <w:tcW w:w="1134" w:type="dxa"/>
            <w:tcBorders>
              <w:start w:val="single" w:sz="2" w:space="0" w:color="666666"/>
              <w:end w:val="single" w:sz="4" w:space="0" w:color="000000"/>
            </w:tcBorders>
            <w:shd w:color="auto" w:fill="EDF1F9" w:val="clear"/>
            <w:vAlign w:val="center"/>
          </w:tcPr>
          <w:p>
            <w:pPr>
              <w:pStyle w:val="Normal"/>
              <w:widowControl w:val="false"/>
              <w:suppressAutoHyphens w:val="true"/>
              <w:spacing w:lineRule="auto" w:line="240" w:before="0" w:after="0"/>
              <w:jc w:val="end"/>
              <w:cnfStyle w:val="000000100000" w:firstRow="0" w:lastRow="0" w:firstColumn="0" w:lastColumn="0" w:oddVBand="0" w:evenVBand="0" w:oddHBand="1" w:evenHBand="0" w:firstRowFirstColumn="0" w:firstRowLastColumn="0" w:lastRowFirstColumn="0" w:lastRowLastColumn="0"/>
              <w:rPr>
                <w:rFonts w:ascii="Tahoma" w:hAnsi="Tahoma" w:cs="Tahoma"/>
                <w:color w:val="000000"/>
                <w:sz w:val="18"/>
                <w:szCs w:val="18"/>
                <w:lang w:val="sr-BA"/>
              </w:rPr>
            </w:pPr>
            <w:r>
              <w:rPr>
                <w:rFonts w:eastAsia="Times New Roman" w:cs="Tahoma" w:ascii="Tahoma" w:hAnsi="Tahoma"/>
                <w:kern w:val="0"/>
                <w:sz w:val="18"/>
                <w:szCs w:val="18"/>
                <w:lang w:val="en-US" w:eastAsia="en-US" w:bidi="ar-SA"/>
              </w:rPr>
              <w:t>1,2%</w:t>
            </w:r>
          </w:p>
        </w:tc>
      </w:tr>
    </w:tbl>
    <w:p>
      <w:pPr>
        <w:pStyle w:val="Normal"/>
        <w:shd w:val="clear" w:color="auto" w:fill="FFFFFF"/>
        <w:spacing w:before="0" w:after="160"/>
        <w:contextualSpacing/>
        <w:jc w:val="both"/>
        <w:rPr>
          <w:rFonts w:ascii="Tahoma" w:hAnsi="Tahoma" w:eastAsia="Times New Roman" w:cs="Tahoma"/>
          <w:i/>
          <w:i/>
          <w:iCs/>
          <w:color w:val="000000"/>
          <w:kern w:val="0"/>
          <w:sz w:val="16"/>
          <w:szCs w:val="16"/>
          <w:lang w:val="sr-BA"/>
          <w14:ligatures w14:val="none"/>
        </w:rPr>
      </w:pPr>
      <w:r>
        <w:rPr>
          <w:rFonts w:eastAsia="Times New Roman" w:cs="Tahoma" w:ascii="Tahoma" w:hAnsi="Tahoma"/>
          <w:color w:val="000000"/>
          <w:kern w:val="0"/>
          <w:sz w:val="16"/>
          <w:szCs w:val="16"/>
          <w:lang w:val="sr-BA"/>
          <w14:ligatures w14:val="none"/>
        </w:rPr>
        <w:t>Извор:</w:t>
      </w:r>
      <w:r>
        <w:rPr>
          <w:rFonts w:eastAsia="Times New Roman" w:cs="Tahoma" w:ascii="Tahoma" w:hAnsi="Tahoma"/>
          <w:i/>
          <w:iCs/>
          <w:color w:val="000000"/>
          <w:kern w:val="0"/>
          <w:sz w:val="16"/>
          <w:szCs w:val="16"/>
          <w:lang w:val="sr-BA"/>
          <w14:ligatures w14:val="none"/>
        </w:rPr>
        <w:t xml:space="preserve"> Одлуке о буџету и одлуке о завршном рачуну буџета општине Беочин</w:t>
      </w:r>
    </w:p>
    <w:p>
      <w:pPr>
        <w:pStyle w:val="Normal"/>
        <w:shd w:val="clear" w:color="auto" w:fill="FFFFFF"/>
        <w:spacing w:before="0" w:after="160"/>
        <w:ind w:start="357" w:hanging="0"/>
        <w:contextualSpacing/>
        <w:jc w:val="both"/>
        <w:rPr>
          <w:rFonts w:ascii="Century Gothic" w:hAnsi="Century Gothic" w:eastAsia="Times New Roman" w:cs="Times New Roman"/>
          <w:iCs/>
          <w:color w:val="000000"/>
          <w:kern w:val="0"/>
          <w:sz w:val="16"/>
          <w:szCs w:val="16"/>
          <w:lang w:val="sr-BA"/>
          <w14:ligatures w14:val="none"/>
        </w:rPr>
      </w:pPr>
      <w:r>
        <w:rPr>
          <w:rFonts w:eastAsia="Times New Roman" w:cs="Times New Roman" w:ascii="Century Gothic" w:hAnsi="Century Gothic"/>
          <w:iCs/>
          <w:color w:val="000000"/>
          <w:kern w:val="0"/>
          <w:sz w:val="16"/>
          <w:szCs w:val="16"/>
          <w:lang w:val="sr-BA"/>
          <w14:ligatures w14:val="none"/>
        </w:rPr>
      </w:r>
    </w:p>
    <w:p>
      <w:pPr>
        <w:pStyle w:val="Normal"/>
        <w:shd w:val="clear" w:color="auto" w:fill="FFFFFF"/>
        <w:spacing w:before="0" w:after="160"/>
        <w:contextualSpacing/>
        <w:jc w:val="both"/>
        <w:rPr>
          <w:rFonts w:ascii="Tahoma" w:hAnsi="Tahoma" w:eastAsia="Times New Roman" w:cs="Tahoma"/>
          <w:b/>
          <w:b/>
          <w:bCs/>
          <w:color w:val="000000"/>
          <w:kern w:val="0"/>
          <w:sz w:val="18"/>
          <w:szCs w:val="18"/>
          <w:lang w:val="sr-BA"/>
          <w14:ligatures w14:val="none"/>
        </w:rPr>
      </w:pPr>
      <w:r>
        <w:rPr>
          <w:rFonts w:eastAsia="Times New Roman" w:cs="Tahoma" w:ascii="Tahoma" w:hAnsi="Tahoma"/>
          <w:b/>
          <w:bCs/>
          <w:color w:val="000000"/>
          <w:kern w:val="0"/>
          <w:sz w:val="18"/>
          <w:szCs w:val="18"/>
          <w:lang w:val="sr-BA"/>
          <w14:ligatures w14:val="none"/>
        </w:rPr>
      </w:r>
    </w:p>
    <w:p>
      <w:pPr>
        <w:pStyle w:val="Normal"/>
        <w:shd w:val="clear" w:color="auto" w:fill="FFFFFF"/>
        <w:spacing w:lineRule="auto" w:line="240" w:before="240" w:after="0"/>
        <w:jc w:val="both"/>
        <w:rPr>
          <w:rFonts w:ascii="Tahoma" w:hAnsi="Tahoma" w:eastAsia="Times New Roman" w:cs="Tahoma"/>
          <w:b/>
          <w:b/>
          <w:bCs/>
          <w:color w:val="000000"/>
          <w:kern w:val="0"/>
          <w:sz w:val="18"/>
          <w:szCs w:val="18"/>
          <w:lang w:val="sr-BA"/>
          <w14:ligatures w14:val="none"/>
        </w:rPr>
      </w:pPr>
      <w:r>
        <w:rPr>
          <w:rFonts w:eastAsia="Times New Roman" w:cs="Tahoma" w:ascii="Tahoma" w:hAnsi="Tahoma"/>
          <w:b/>
          <w:bCs/>
          <w:color w:val="000000"/>
          <w:kern w:val="0"/>
          <w:sz w:val="18"/>
          <w:szCs w:val="18"/>
          <w:lang w:val="sr-BA"/>
          <w14:ligatures w14:val="none"/>
        </w:rPr>
        <w:t>Табела 2 - Укупна вредност средстава за услуге социјалне заштите</w:t>
      </w:r>
    </w:p>
    <w:p>
      <w:pPr>
        <w:pStyle w:val="Normal"/>
        <w:shd w:val="clear" w:color="auto" w:fill="FFFFFF"/>
        <w:spacing w:before="0" w:after="160"/>
        <w:ind w:start="7560" w:hanging="0"/>
        <w:contextualSpacing/>
        <w:jc w:val="both"/>
        <w:rPr>
          <w:rFonts w:ascii="Century Gothic" w:hAnsi="Century Gothic" w:eastAsia="Times New Roman" w:cs="Times New Roman"/>
          <w:iCs/>
          <w:color w:val="000000"/>
          <w:kern w:val="0"/>
          <w:sz w:val="16"/>
          <w:szCs w:val="16"/>
          <w:lang w:val="sr-BA"/>
          <w14:ligatures w14:val="none"/>
        </w:rPr>
      </w:pPr>
      <w:r>
        <w:rPr>
          <w:rFonts w:eastAsia="Times New Roman" w:cs="Tahoma" w:ascii="Tahoma" w:hAnsi="Tahoma"/>
          <w:i/>
          <w:color w:val="000000"/>
          <w:sz w:val="16"/>
          <w:szCs w:val="16"/>
          <w:lang w:val="sr-BA"/>
        </w:rPr>
        <w:t>У хиљадама динара</w:t>
      </w:r>
    </w:p>
    <w:tbl>
      <w:tblPr>
        <w:tblW w:w="9356" w:type="dxa"/>
        <w:jc w:val="start"/>
        <w:tblInd w:w="-5" w:type="dxa"/>
        <w:tblLayout w:type="fixed"/>
        <w:tblCellMar>
          <w:top w:w="15" w:type="dxa"/>
          <w:start w:w="108" w:type="dxa"/>
          <w:bottom w:w="15" w:type="dxa"/>
          <w:end w:w="108" w:type="dxa"/>
        </w:tblCellMar>
        <w:tblLook w:firstRow="1" w:noVBand="1" w:lastRow="0" w:firstColumn="1" w:lastColumn="0" w:noHBand="0" w:val="04a0"/>
      </w:tblPr>
      <w:tblGrid>
        <w:gridCol w:w="4064"/>
        <w:gridCol w:w="1747"/>
        <w:gridCol w:w="1701"/>
        <w:gridCol w:w="1843"/>
      </w:tblGrid>
      <w:tr>
        <w:trPr>
          <w:trHeight w:val="285" w:hRule="atLeast"/>
        </w:trPr>
        <w:tc>
          <w:tcPr>
            <w:tcW w:w="4064" w:type="dxa"/>
            <w:tcBorders>
              <w:top w:val="single" w:sz="4" w:space="0" w:color="757171"/>
              <w:start w:val="single" w:sz="4" w:space="0" w:color="757171"/>
              <w:bottom w:val="single" w:sz="4" w:space="0" w:color="757171"/>
              <w:end w:val="single" w:sz="4" w:space="0" w:color="757171"/>
            </w:tcBorders>
            <w:shd w:color="auto" w:fill="D9E2F3" w:val="clear"/>
            <w:vAlign w:val="center"/>
          </w:tcPr>
          <w:p>
            <w:pPr>
              <w:pStyle w:val="Normal"/>
              <w:widowControl w:val="false"/>
              <w:spacing w:lineRule="auto" w:line="240" w:before="0" w:after="0"/>
              <w:jc w:val="center"/>
              <w:rPr>
                <w:rFonts w:ascii="Tahoma" w:hAnsi="Tahoma" w:eastAsia="Times New Roman" w:cs="Tahoma"/>
                <w:sz w:val="18"/>
                <w:szCs w:val="18"/>
                <w:lang w:val="sr-BA"/>
              </w:rPr>
            </w:pPr>
            <w:r>
              <w:rPr>
                <w:rFonts w:eastAsia="Times New Roman" w:cs="Tahoma" w:ascii="Tahoma" w:hAnsi="Tahoma"/>
                <w:sz w:val="18"/>
                <w:szCs w:val="18"/>
                <w:lang w:val="sr-BA"/>
              </w:rPr>
              <w:t>Опис</w:t>
            </w:r>
          </w:p>
        </w:tc>
        <w:tc>
          <w:tcPr>
            <w:tcW w:w="1747" w:type="dxa"/>
            <w:tcBorders>
              <w:top w:val="single" w:sz="4" w:space="0" w:color="757171"/>
              <w:start w:val="single" w:sz="4" w:space="0" w:color="757171"/>
              <w:bottom w:val="single" w:sz="4" w:space="0" w:color="757171"/>
              <w:end w:val="single" w:sz="4" w:space="0" w:color="757171"/>
            </w:tcBorders>
            <w:shd w:color="auto" w:fill="D9E2F3" w:val="clear"/>
            <w:vAlign w:val="center"/>
          </w:tcPr>
          <w:p>
            <w:pPr>
              <w:pStyle w:val="Normal"/>
              <w:widowControl w:val="false"/>
              <w:spacing w:lineRule="auto" w:line="240" w:before="0" w:after="0"/>
              <w:jc w:val="center"/>
              <w:rPr>
                <w:rFonts w:ascii="Tahoma" w:hAnsi="Tahoma" w:eastAsia="Times New Roman" w:cs="Tahoma"/>
                <w:i/>
                <w:i/>
                <w:iCs/>
                <w:color w:val="000000"/>
                <w:sz w:val="18"/>
                <w:szCs w:val="18"/>
                <w:lang w:val="sr-BA"/>
              </w:rPr>
            </w:pPr>
            <w:r>
              <w:rPr>
                <w:rFonts w:eastAsia="Times New Roman" w:cs="Tahoma" w:ascii="Tahoma" w:hAnsi="Tahoma"/>
                <w:i/>
                <w:iCs/>
                <w:color w:val="000000"/>
                <w:sz w:val="18"/>
                <w:szCs w:val="18"/>
                <w:lang w:val="sr-BA"/>
              </w:rPr>
              <w:t>2021</w:t>
            </w:r>
          </w:p>
        </w:tc>
        <w:tc>
          <w:tcPr>
            <w:tcW w:w="1701" w:type="dxa"/>
            <w:tcBorders>
              <w:top w:val="single" w:sz="4" w:space="0" w:color="757171"/>
              <w:start w:val="single" w:sz="4" w:space="0" w:color="757171"/>
              <w:bottom w:val="single" w:sz="4" w:space="0" w:color="757171"/>
              <w:end w:val="single" w:sz="4" w:space="0" w:color="757171"/>
            </w:tcBorders>
            <w:shd w:color="auto" w:fill="D9E2F3" w:val="clear"/>
            <w:vAlign w:val="center"/>
          </w:tcPr>
          <w:p>
            <w:pPr>
              <w:pStyle w:val="Normal"/>
              <w:widowControl w:val="false"/>
              <w:spacing w:lineRule="auto" w:line="240" w:before="0" w:after="0"/>
              <w:jc w:val="center"/>
              <w:rPr>
                <w:rFonts w:ascii="Tahoma" w:hAnsi="Tahoma" w:eastAsia="Times New Roman" w:cs="Tahoma"/>
                <w:i/>
                <w:i/>
                <w:iCs/>
                <w:color w:val="000000"/>
                <w:sz w:val="18"/>
                <w:szCs w:val="18"/>
                <w:lang w:val="sr-BA"/>
              </w:rPr>
            </w:pPr>
            <w:r>
              <w:rPr>
                <w:rFonts w:eastAsia="Times New Roman" w:cs="Tahoma" w:ascii="Tahoma" w:hAnsi="Tahoma"/>
                <w:i/>
                <w:iCs/>
                <w:color w:val="000000"/>
                <w:sz w:val="18"/>
                <w:szCs w:val="18"/>
                <w:lang w:val="sr-BA"/>
              </w:rPr>
              <w:t>2022</w:t>
            </w:r>
          </w:p>
        </w:tc>
        <w:tc>
          <w:tcPr>
            <w:tcW w:w="1843" w:type="dxa"/>
            <w:tcBorders>
              <w:top w:val="single" w:sz="4" w:space="0" w:color="757171"/>
              <w:start w:val="single" w:sz="4" w:space="0" w:color="757171"/>
              <w:bottom w:val="single" w:sz="4" w:space="0" w:color="757171"/>
              <w:end w:val="single" w:sz="4" w:space="0" w:color="757171"/>
            </w:tcBorders>
            <w:shd w:color="auto" w:fill="D9E2F3" w:val="clear"/>
            <w:vAlign w:val="center"/>
          </w:tcPr>
          <w:p>
            <w:pPr>
              <w:pStyle w:val="Normal"/>
              <w:widowControl w:val="false"/>
              <w:spacing w:lineRule="auto" w:line="240" w:before="0" w:after="0"/>
              <w:jc w:val="center"/>
              <w:rPr>
                <w:rFonts w:ascii="Tahoma" w:hAnsi="Tahoma" w:eastAsia="Times New Roman" w:cs="Tahoma"/>
                <w:i/>
                <w:i/>
                <w:iCs/>
                <w:color w:val="000000"/>
                <w:sz w:val="18"/>
                <w:szCs w:val="18"/>
                <w:lang w:val="sr-BA"/>
              </w:rPr>
            </w:pPr>
            <w:r>
              <w:rPr>
                <w:rFonts w:eastAsia="Times New Roman" w:cs="Tahoma" w:ascii="Tahoma" w:hAnsi="Tahoma"/>
                <w:i/>
                <w:iCs/>
                <w:color w:val="000000"/>
                <w:sz w:val="18"/>
                <w:szCs w:val="18"/>
                <w:lang w:val="sr-BA"/>
              </w:rPr>
              <w:t>2023</w:t>
            </w:r>
          </w:p>
        </w:tc>
      </w:tr>
      <w:tr>
        <w:trPr>
          <w:trHeight w:val="285" w:hRule="atLeast"/>
        </w:trPr>
        <w:tc>
          <w:tcPr>
            <w:tcW w:w="4064" w:type="dxa"/>
            <w:tcBorders>
              <w:top w:val="single" w:sz="4" w:space="0" w:color="757171"/>
              <w:start w:val="single" w:sz="4" w:space="0" w:color="757171"/>
              <w:bottom w:val="single" w:sz="4" w:space="0" w:color="757171"/>
              <w:end w:val="single" w:sz="4" w:space="0" w:color="757171"/>
            </w:tcBorders>
            <w:vAlign w:val="center"/>
          </w:tcPr>
          <w:p>
            <w:pPr>
              <w:pStyle w:val="Normal"/>
              <w:widowControl w:val="false"/>
              <w:spacing w:lineRule="auto" w:line="240" w:before="0" w:after="0"/>
              <w:rPr>
                <w:rFonts w:ascii="Tahoma" w:hAnsi="Tahoma" w:eastAsia="Times New Roman" w:cs="Tahoma"/>
                <w:color w:val="000000"/>
                <w:sz w:val="18"/>
                <w:szCs w:val="18"/>
                <w:lang w:val="sr-BA"/>
              </w:rPr>
            </w:pPr>
            <w:r>
              <w:rPr>
                <w:rFonts w:eastAsia="Times New Roman" w:cs="Tahoma" w:ascii="Tahoma" w:hAnsi="Tahoma"/>
                <w:color w:val="000000"/>
                <w:sz w:val="18"/>
                <w:szCs w:val="18"/>
                <w:lang w:val="sr-BA"/>
              </w:rPr>
              <w:t>Укупан буџет општине Беочин</w:t>
            </w:r>
          </w:p>
        </w:tc>
        <w:tc>
          <w:tcPr>
            <w:tcW w:w="1747" w:type="dxa"/>
            <w:tcBorders>
              <w:top w:val="single" w:sz="4" w:space="0" w:color="757171"/>
              <w:start w:val="single" w:sz="4" w:space="0" w:color="757171"/>
              <w:bottom w:val="single" w:sz="4" w:space="0" w:color="757171"/>
              <w:end w:val="single" w:sz="4" w:space="0" w:color="757171"/>
            </w:tcBorders>
            <w:vAlign w:val="center"/>
          </w:tcPr>
          <w:p>
            <w:pPr>
              <w:pStyle w:val="Normal"/>
              <w:widowControl w:val="false"/>
              <w:spacing w:lineRule="auto" w:line="240" w:before="0" w:after="0"/>
              <w:jc w:val="end"/>
              <w:rPr>
                <w:rFonts w:ascii="Tahoma" w:hAnsi="Tahoma" w:eastAsia="Times New Roman" w:cs="Tahoma"/>
                <w:color w:val="000000"/>
                <w:sz w:val="18"/>
                <w:szCs w:val="18"/>
                <w:lang w:val="sr-BA"/>
              </w:rPr>
            </w:pPr>
            <w:r>
              <w:rPr>
                <w:rFonts w:eastAsia="Times New Roman" w:cs="Tahoma" w:ascii="Tahoma" w:hAnsi="Tahoma"/>
                <w:color w:val="000000"/>
                <w:sz w:val="18"/>
                <w:szCs w:val="18"/>
                <w:lang w:val="sr-BA"/>
              </w:rPr>
              <w:t>908.671</w:t>
            </w:r>
          </w:p>
        </w:tc>
        <w:tc>
          <w:tcPr>
            <w:tcW w:w="1701" w:type="dxa"/>
            <w:tcBorders>
              <w:top w:val="single" w:sz="4" w:space="0" w:color="757171"/>
              <w:start w:val="single" w:sz="4" w:space="0" w:color="757171"/>
              <w:bottom w:val="single" w:sz="4" w:space="0" w:color="757171"/>
              <w:end w:val="single" w:sz="4" w:space="0" w:color="757171"/>
            </w:tcBorders>
            <w:vAlign w:val="center"/>
          </w:tcPr>
          <w:p>
            <w:pPr>
              <w:pStyle w:val="Normal"/>
              <w:widowControl w:val="false"/>
              <w:spacing w:lineRule="auto" w:line="240" w:before="0" w:after="0"/>
              <w:jc w:val="end"/>
              <w:rPr>
                <w:rFonts w:ascii="Tahoma" w:hAnsi="Tahoma" w:eastAsia="Times New Roman" w:cs="Tahoma"/>
                <w:color w:val="000000"/>
                <w:sz w:val="18"/>
                <w:szCs w:val="18"/>
                <w:lang w:val="sr-BA"/>
              </w:rPr>
            </w:pPr>
            <w:r>
              <w:rPr>
                <w:rFonts w:eastAsia="Times New Roman" w:cs="Tahoma" w:ascii="Tahoma" w:hAnsi="Tahoma"/>
                <w:color w:val="000000"/>
                <w:sz w:val="18"/>
                <w:szCs w:val="18"/>
                <w:lang w:val="sr-BA"/>
              </w:rPr>
              <w:t>1.248.547</w:t>
            </w:r>
          </w:p>
        </w:tc>
        <w:tc>
          <w:tcPr>
            <w:tcW w:w="1843" w:type="dxa"/>
            <w:tcBorders>
              <w:top w:val="single" w:sz="4" w:space="0" w:color="757171"/>
              <w:start w:val="single" w:sz="4" w:space="0" w:color="757171"/>
              <w:bottom w:val="single" w:sz="4" w:space="0" w:color="757171"/>
              <w:end w:val="single" w:sz="4" w:space="0" w:color="757171"/>
            </w:tcBorders>
            <w:vAlign w:val="center"/>
          </w:tcPr>
          <w:p>
            <w:pPr>
              <w:pStyle w:val="Normal"/>
              <w:widowControl w:val="false"/>
              <w:spacing w:lineRule="auto" w:line="240" w:before="0" w:after="0"/>
              <w:jc w:val="end"/>
              <w:rPr>
                <w:rFonts w:ascii="Tahoma" w:hAnsi="Tahoma" w:eastAsia="Times New Roman" w:cs="Tahoma"/>
                <w:color w:val="000000"/>
                <w:sz w:val="18"/>
                <w:szCs w:val="18"/>
                <w:lang w:val="sr-BA"/>
              </w:rPr>
            </w:pPr>
            <w:r>
              <w:rPr>
                <w:rFonts w:eastAsia="Times New Roman" w:cs="Tahoma" w:ascii="Tahoma" w:hAnsi="Tahoma"/>
                <w:color w:val="000000"/>
                <w:sz w:val="18"/>
                <w:szCs w:val="18"/>
                <w:lang w:val="sr-BA"/>
              </w:rPr>
              <w:t>1.119.563</w:t>
            </w:r>
          </w:p>
        </w:tc>
      </w:tr>
      <w:tr>
        <w:trPr>
          <w:trHeight w:val="285" w:hRule="atLeast"/>
        </w:trPr>
        <w:tc>
          <w:tcPr>
            <w:tcW w:w="4064" w:type="dxa"/>
            <w:tcBorders>
              <w:top w:val="single" w:sz="4" w:space="0" w:color="757171"/>
              <w:start w:val="single" w:sz="4" w:space="0" w:color="757171"/>
              <w:bottom w:val="single" w:sz="4" w:space="0" w:color="757171"/>
              <w:end w:val="single" w:sz="4" w:space="0" w:color="757171"/>
            </w:tcBorders>
            <w:vAlign w:val="center"/>
          </w:tcPr>
          <w:p>
            <w:pPr>
              <w:pStyle w:val="Normal"/>
              <w:widowControl w:val="false"/>
              <w:spacing w:lineRule="auto" w:line="240" w:before="0" w:after="0"/>
              <w:rPr>
                <w:rFonts w:ascii="Tahoma" w:hAnsi="Tahoma" w:eastAsia="Times New Roman" w:cs="Tahoma"/>
                <w:color w:val="000000"/>
                <w:sz w:val="18"/>
                <w:szCs w:val="18"/>
                <w:lang w:val="sr-BA"/>
              </w:rPr>
            </w:pPr>
            <w:r>
              <w:rPr>
                <w:rFonts w:eastAsia="Times New Roman" w:cs="Tahoma" w:ascii="Tahoma" w:hAnsi="Tahoma"/>
                <w:color w:val="000000"/>
                <w:sz w:val="18"/>
                <w:szCs w:val="18"/>
                <w:lang w:val="sr-BA"/>
              </w:rPr>
              <w:t>Укупан износ средстава утрошених за услуге СЗ</w:t>
            </w:r>
          </w:p>
        </w:tc>
        <w:tc>
          <w:tcPr>
            <w:tcW w:w="1747" w:type="dxa"/>
            <w:tcBorders>
              <w:top w:val="single" w:sz="4" w:space="0" w:color="757171"/>
              <w:start w:val="single" w:sz="4" w:space="0" w:color="757171"/>
              <w:bottom w:val="single" w:sz="4" w:space="0" w:color="757171"/>
              <w:end w:val="single" w:sz="4" w:space="0" w:color="757171"/>
            </w:tcBorders>
            <w:vAlign w:val="center"/>
          </w:tcPr>
          <w:p>
            <w:pPr>
              <w:pStyle w:val="Normal"/>
              <w:widowControl w:val="false"/>
              <w:spacing w:lineRule="auto" w:line="240" w:before="0" w:after="0"/>
              <w:jc w:val="end"/>
              <w:rPr>
                <w:rFonts w:ascii="Tahoma" w:hAnsi="Tahoma" w:eastAsia="Aptos" w:cs="Tahoma"/>
                <w:sz w:val="18"/>
                <w:szCs w:val="18"/>
                <w:lang w:val="sr-BA"/>
              </w:rPr>
            </w:pPr>
            <w:r>
              <w:rPr>
                <w:rFonts w:eastAsia="Aptos" w:cs="Tahoma" w:ascii="Tahoma" w:hAnsi="Tahoma"/>
                <w:sz w:val="18"/>
                <w:szCs w:val="18"/>
                <w:lang w:val="sr-BA"/>
              </w:rPr>
              <w:t>7.441</w:t>
            </w:r>
          </w:p>
        </w:tc>
        <w:tc>
          <w:tcPr>
            <w:tcW w:w="1701" w:type="dxa"/>
            <w:tcBorders>
              <w:top w:val="single" w:sz="4" w:space="0" w:color="757171"/>
              <w:start w:val="single" w:sz="4" w:space="0" w:color="757171"/>
              <w:bottom w:val="single" w:sz="4" w:space="0" w:color="757171"/>
              <w:end w:val="single" w:sz="4" w:space="0" w:color="757171"/>
            </w:tcBorders>
            <w:vAlign w:val="center"/>
          </w:tcPr>
          <w:p>
            <w:pPr>
              <w:pStyle w:val="Normal"/>
              <w:widowControl w:val="false"/>
              <w:spacing w:lineRule="auto" w:line="240" w:before="0" w:after="0"/>
              <w:jc w:val="end"/>
              <w:rPr>
                <w:rFonts w:ascii="Tahoma" w:hAnsi="Tahoma" w:eastAsia="Aptos" w:cs="Tahoma"/>
                <w:sz w:val="18"/>
                <w:szCs w:val="18"/>
                <w:lang w:val="sr-BA"/>
              </w:rPr>
            </w:pPr>
            <w:r>
              <w:rPr>
                <w:rFonts w:eastAsia="Aptos" w:cs="Tahoma" w:ascii="Tahoma" w:hAnsi="Tahoma"/>
                <w:sz w:val="18"/>
                <w:szCs w:val="18"/>
                <w:lang w:val="sr-BA"/>
              </w:rPr>
              <w:t>7.846</w:t>
            </w:r>
          </w:p>
        </w:tc>
        <w:tc>
          <w:tcPr>
            <w:tcW w:w="1843" w:type="dxa"/>
            <w:tcBorders>
              <w:top w:val="single" w:sz="4" w:space="0" w:color="757171"/>
              <w:start w:val="single" w:sz="4" w:space="0" w:color="757171"/>
              <w:bottom w:val="single" w:sz="4" w:space="0" w:color="757171"/>
              <w:end w:val="single" w:sz="4" w:space="0" w:color="757171"/>
            </w:tcBorders>
            <w:vAlign w:val="center"/>
          </w:tcPr>
          <w:p>
            <w:pPr>
              <w:pStyle w:val="Normal"/>
              <w:widowControl w:val="false"/>
              <w:spacing w:lineRule="auto" w:line="240" w:before="0" w:after="0"/>
              <w:jc w:val="end"/>
              <w:rPr>
                <w:rFonts w:ascii="Tahoma" w:hAnsi="Tahoma" w:eastAsia="Aptos" w:cs="Tahoma"/>
                <w:sz w:val="18"/>
                <w:szCs w:val="18"/>
                <w:lang w:val="sr-BA"/>
              </w:rPr>
            </w:pPr>
            <w:r>
              <w:rPr>
                <w:rFonts w:eastAsia="Aptos" w:cs="Tahoma" w:ascii="Tahoma" w:hAnsi="Tahoma"/>
                <w:sz w:val="18"/>
                <w:szCs w:val="18"/>
                <w:lang w:val="sr-BA"/>
              </w:rPr>
              <w:t>8.320</w:t>
            </w:r>
          </w:p>
        </w:tc>
      </w:tr>
      <w:tr>
        <w:trPr>
          <w:trHeight w:val="285" w:hRule="atLeast"/>
        </w:trPr>
        <w:tc>
          <w:tcPr>
            <w:tcW w:w="4064" w:type="dxa"/>
            <w:tcBorders>
              <w:top w:val="single" w:sz="4" w:space="0" w:color="757171"/>
              <w:start w:val="single" w:sz="4" w:space="0" w:color="757171"/>
              <w:bottom w:val="single" w:sz="4" w:space="0" w:color="757171"/>
              <w:end w:val="single" w:sz="4" w:space="0" w:color="757171"/>
            </w:tcBorders>
            <w:vAlign w:val="center"/>
          </w:tcPr>
          <w:p>
            <w:pPr>
              <w:pStyle w:val="Normal"/>
              <w:widowControl w:val="false"/>
              <w:spacing w:lineRule="auto" w:line="240" w:before="0" w:after="0"/>
              <w:rPr>
                <w:rFonts w:ascii="Tahoma" w:hAnsi="Tahoma" w:eastAsia="Times New Roman" w:cs="Tahoma"/>
                <w:color w:val="000000"/>
                <w:sz w:val="18"/>
                <w:szCs w:val="18"/>
                <w:lang w:val="sr-BA"/>
              </w:rPr>
            </w:pPr>
            <w:r>
              <w:rPr>
                <w:rFonts w:eastAsia="Times New Roman" w:cs="Tahoma" w:ascii="Tahoma" w:hAnsi="Tahoma"/>
                <w:color w:val="000000"/>
                <w:sz w:val="18"/>
                <w:szCs w:val="18"/>
                <w:lang w:val="sr-BA"/>
              </w:rPr>
              <w:t>Проценат укупне вредности буџета</w:t>
            </w:r>
          </w:p>
        </w:tc>
        <w:tc>
          <w:tcPr>
            <w:tcW w:w="1747" w:type="dxa"/>
            <w:tcBorders>
              <w:top w:val="single" w:sz="4" w:space="0" w:color="757171"/>
              <w:start w:val="single" w:sz="4" w:space="0" w:color="757171"/>
              <w:bottom w:val="single" w:sz="4" w:space="0" w:color="757171"/>
              <w:end w:val="single" w:sz="4" w:space="0" w:color="757171"/>
            </w:tcBorders>
            <w:shd w:color="auto" w:fill="EDF1F9" w:val="clear"/>
            <w:vAlign w:val="center"/>
          </w:tcPr>
          <w:p>
            <w:pPr>
              <w:pStyle w:val="Normal"/>
              <w:widowControl w:val="false"/>
              <w:spacing w:lineRule="auto" w:line="240" w:before="0" w:after="0"/>
              <w:jc w:val="end"/>
              <w:rPr>
                <w:rFonts w:ascii="Tahoma" w:hAnsi="Tahoma" w:eastAsia="Times New Roman" w:cs="Tahoma"/>
                <w:color w:val="000000"/>
                <w:sz w:val="18"/>
                <w:szCs w:val="18"/>
                <w:lang w:val="sr-BA"/>
              </w:rPr>
            </w:pPr>
            <w:r>
              <w:rPr>
                <w:rFonts w:eastAsia="Times New Roman" w:cs="Tahoma" w:ascii="Tahoma" w:hAnsi="Tahoma"/>
                <w:color w:val="000000"/>
                <w:sz w:val="18"/>
                <w:szCs w:val="18"/>
                <w:lang w:val="sr-BA"/>
              </w:rPr>
              <w:t>0,1%</w:t>
            </w:r>
          </w:p>
        </w:tc>
        <w:tc>
          <w:tcPr>
            <w:tcW w:w="1701" w:type="dxa"/>
            <w:tcBorders>
              <w:top w:val="single" w:sz="4" w:space="0" w:color="757171"/>
              <w:start w:val="single" w:sz="4" w:space="0" w:color="757171"/>
              <w:bottom w:val="single" w:sz="4" w:space="0" w:color="757171"/>
              <w:end w:val="single" w:sz="4" w:space="0" w:color="757171"/>
            </w:tcBorders>
            <w:shd w:color="auto" w:fill="EDF1F9" w:val="clear"/>
            <w:vAlign w:val="center"/>
          </w:tcPr>
          <w:p>
            <w:pPr>
              <w:pStyle w:val="Normal"/>
              <w:widowControl w:val="false"/>
              <w:spacing w:lineRule="auto" w:line="240" w:before="0" w:after="0"/>
              <w:jc w:val="end"/>
              <w:rPr>
                <w:rFonts w:ascii="Tahoma" w:hAnsi="Tahoma" w:eastAsia="Times New Roman" w:cs="Tahoma"/>
                <w:color w:val="000000"/>
                <w:sz w:val="18"/>
                <w:szCs w:val="18"/>
                <w:lang w:val="sr-BA"/>
              </w:rPr>
            </w:pPr>
            <w:r>
              <w:rPr>
                <w:rFonts w:eastAsia="Times New Roman" w:cs="Tahoma" w:ascii="Tahoma" w:hAnsi="Tahoma"/>
                <w:color w:val="000000"/>
                <w:sz w:val="18"/>
                <w:szCs w:val="18"/>
                <w:lang w:val="sr-BA"/>
              </w:rPr>
              <w:t>0,1%</w:t>
            </w:r>
          </w:p>
        </w:tc>
        <w:tc>
          <w:tcPr>
            <w:tcW w:w="1843" w:type="dxa"/>
            <w:tcBorders>
              <w:top w:val="single" w:sz="4" w:space="0" w:color="757171"/>
              <w:start w:val="single" w:sz="4" w:space="0" w:color="757171"/>
              <w:bottom w:val="single" w:sz="4" w:space="0" w:color="757171"/>
              <w:end w:val="single" w:sz="4" w:space="0" w:color="757171"/>
            </w:tcBorders>
            <w:shd w:color="auto" w:fill="EDF1F9" w:val="clear"/>
            <w:vAlign w:val="center"/>
          </w:tcPr>
          <w:p>
            <w:pPr>
              <w:pStyle w:val="Normal"/>
              <w:widowControl w:val="false"/>
              <w:spacing w:lineRule="auto" w:line="240" w:before="0" w:after="0"/>
              <w:jc w:val="end"/>
              <w:rPr>
                <w:rFonts w:ascii="Tahoma" w:hAnsi="Tahoma" w:eastAsia="Times New Roman" w:cs="Tahoma"/>
                <w:color w:val="000000"/>
                <w:sz w:val="18"/>
                <w:szCs w:val="18"/>
                <w:lang w:val="sr-BA"/>
              </w:rPr>
            </w:pPr>
            <w:r>
              <w:rPr>
                <w:rFonts w:eastAsia="Times New Roman" w:cs="Tahoma" w:ascii="Tahoma" w:hAnsi="Tahoma"/>
                <w:color w:val="000000"/>
                <w:sz w:val="18"/>
                <w:szCs w:val="18"/>
                <w:lang w:val="sr-BA"/>
              </w:rPr>
              <w:t>0,1%</w:t>
            </w:r>
          </w:p>
        </w:tc>
      </w:tr>
    </w:tbl>
    <w:tbl>
      <w:tblPr>
        <w:tblStyle w:val="TableGrid41"/>
        <w:tblW w:w="9356" w:type="dxa"/>
        <w:jc w:val="start"/>
        <w:tblInd w:w="-5" w:type="dxa"/>
        <w:tblLayout w:type="fixed"/>
        <w:tblCellMar>
          <w:top w:w="0" w:type="dxa"/>
          <w:start w:w="108" w:type="dxa"/>
          <w:bottom w:w="0" w:type="dxa"/>
          <w:end w:w="108" w:type="dxa"/>
        </w:tblCellMar>
        <w:tblLook w:firstRow="1" w:noVBand="1" w:lastRow="0" w:firstColumn="1" w:lastColumn="0" w:noHBand="0" w:val="04a0"/>
      </w:tblPr>
      <w:tblGrid>
        <w:gridCol w:w="9356"/>
      </w:tblGrid>
      <w:tr>
        <w:trPr/>
        <w:tc>
          <w:tcPr>
            <w:tcW w:w="9356" w:type="dxa"/>
            <w:tcBorders/>
            <w:shd w:color="auto" w:fill="EDF1F9" w:val="clear"/>
          </w:tcPr>
          <w:p>
            <w:pPr>
              <w:pStyle w:val="Normal"/>
              <w:widowControl w:val="false"/>
              <w:suppressAutoHyphens w:val="true"/>
              <w:spacing w:lineRule="auto" w:line="240" w:before="0" w:after="0"/>
              <w:jc w:val="both"/>
              <w:rPr>
                <w:rFonts w:ascii="Tahoma" w:hAnsi="Tahoma" w:cs="Tahoma"/>
                <w:i/>
                <w:i/>
                <w:iCs/>
                <w:color w:val="000000"/>
                <w:sz w:val="18"/>
                <w:szCs w:val="18"/>
                <w:lang w:val="sr-BA"/>
              </w:rPr>
            </w:pPr>
            <w:r>
              <w:rPr>
                <w:rFonts w:eastAsia="Times New Roman" w:cs="Tahoma" w:ascii="Tahoma" w:hAnsi="Tahoma"/>
                <w:i/>
                <w:iCs/>
                <w:color w:val="000000"/>
                <w:kern w:val="0"/>
                <w:sz w:val="18"/>
                <w:szCs w:val="18"/>
                <w:lang w:val="sr-BA" w:eastAsia="en-US" w:bidi="ar-SA"/>
              </w:rPr>
              <w:t>Коментар</w:t>
            </w:r>
          </w:p>
        </w:tc>
      </w:tr>
      <w:tr>
        <w:trPr/>
        <w:tc>
          <w:tcPr>
            <w:tcW w:w="9356" w:type="dxa"/>
            <w:tcBorders/>
          </w:tcPr>
          <w:p>
            <w:pPr>
              <w:pStyle w:val="Normal"/>
              <w:widowControl w:val="false"/>
              <w:suppressAutoHyphens w:val="true"/>
              <w:spacing w:lineRule="auto" w:line="240" w:before="0" w:after="0"/>
              <w:jc w:val="both"/>
              <w:rPr>
                <w:rFonts w:ascii="Tahoma" w:hAnsi="Tahoma" w:cs="Tahoma"/>
                <w:color w:val="000000"/>
                <w:sz w:val="20"/>
                <w:szCs w:val="20"/>
                <w:lang w:val="sr-BA"/>
              </w:rPr>
            </w:pPr>
            <w:r>
              <w:rPr>
                <w:rFonts w:eastAsia="Times New Roman" w:cs="Tahoma" w:ascii="Tahoma" w:hAnsi="Tahoma"/>
                <w:color w:val="000000"/>
                <w:kern w:val="0"/>
                <w:sz w:val="20"/>
                <w:szCs w:val="20"/>
                <w:lang w:val="sr-BA" w:eastAsia="en-US" w:bidi="ar-SA"/>
              </w:rPr>
              <w:t>Учешће расхода који су обухваћени Програмом 11 у структури укупно извршених расхода у претходне 3 године, од 2021. до 2023. године, је прилично стабилно и у просеку износи 6,5% и креће се у просеку који ЈЛС у Србији имају за издвајања за социјалну и дечију заштиту. Општина има једну услугу социјалне заштите: дневни смештај и исхрана ученика са посебним потребама у школу „Милан Петровић“. У укупним давањима за област социјалне заштите у периоду од 2021. до 2023. године, у просеку ова услуга учествује са 1,3%, док је у учешће средстава утрошених за ову намену у укупном буџету Општине прилично ниско и износи 0,1%.</w:t>
            </w:r>
          </w:p>
        </w:tc>
      </w:tr>
    </w:tbl>
    <w:p>
      <w:pPr>
        <w:pStyle w:val="Normal"/>
        <w:rPr>
          <w:rFonts w:ascii="Tahoma" w:hAnsi="Tahoma" w:eastAsia="Aptos" w:cs="Tahoma"/>
          <w:lang w:val="sr-BA"/>
        </w:rPr>
      </w:pPr>
      <w:r>
        <w:rPr>
          <w:rFonts w:eastAsia="Aptos" w:cs="Tahoma" w:ascii="Tahoma" w:hAnsi="Tahoma"/>
          <w:lang w:val="sr-BA"/>
        </w:rPr>
      </w:r>
    </w:p>
    <w:p>
      <w:pPr>
        <w:pStyle w:val="Normal"/>
        <w:spacing w:lineRule="auto" w:line="240" w:before="240" w:after="0"/>
        <w:jc w:val="both"/>
        <w:rPr>
          <w:rFonts w:ascii="Tahoma" w:hAnsi="Tahoma" w:eastAsia="Times New Roman" w:cs="Tahoma"/>
          <w:b/>
          <w:b/>
          <w:bCs/>
          <w:color w:val="000000"/>
          <w:kern w:val="0"/>
          <w:sz w:val="18"/>
          <w:szCs w:val="18"/>
          <w:lang w:val="sr-BA"/>
          <w14:ligatures w14:val="none"/>
        </w:rPr>
      </w:pPr>
      <w:r>
        <w:rPr>
          <w:rFonts w:eastAsia="Times New Roman" w:cs="Tahoma" w:ascii="Tahoma" w:hAnsi="Tahoma"/>
          <w:b/>
          <w:bCs/>
          <w:color w:val="000000"/>
          <w:kern w:val="0"/>
          <w:sz w:val="18"/>
          <w:szCs w:val="18"/>
          <w:lang w:val="sr-BA"/>
          <w14:ligatures w14:val="none"/>
        </w:rPr>
        <w:t>Табела  3 - Средства за услуге СЗ по услугама и изворима финансирања</w:t>
        <w:tab/>
      </w:r>
    </w:p>
    <w:p>
      <w:pPr>
        <w:pStyle w:val="Normal"/>
        <w:spacing w:before="0" w:after="0"/>
        <w:ind w:start="7920" w:hanging="0"/>
        <w:jc w:val="both"/>
        <w:rPr>
          <w:rFonts w:ascii="Tahoma" w:hAnsi="Tahoma" w:eastAsia="Times New Roman" w:cs="Tahoma"/>
          <w:b/>
          <w:b/>
          <w:bCs/>
          <w:color w:val="000000"/>
          <w:kern w:val="0"/>
          <w:sz w:val="18"/>
          <w:szCs w:val="18"/>
          <w:lang w:val="sr-BA"/>
          <w14:ligatures w14:val="none"/>
        </w:rPr>
      </w:pPr>
      <w:r>
        <w:rPr>
          <w:rFonts w:eastAsia="Times New Roman" w:cs="Tahoma" w:ascii="Tahoma" w:hAnsi="Tahoma"/>
          <w:bCs/>
          <w:i/>
          <w:color w:val="000000"/>
          <w:kern w:val="0"/>
          <w:sz w:val="18"/>
          <w:szCs w:val="18"/>
          <w:lang w:val="sr-BA"/>
          <w14:ligatures w14:val="none"/>
        </w:rPr>
        <w:t xml:space="preserve">  </w:t>
      </w:r>
      <w:r>
        <w:rPr>
          <w:rFonts w:eastAsia="Times New Roman" w:cs="Tahoma" w:ascii="Tahoma" w:hAnsi="Tahoma"/>
          <w:bCs/>
          <w:i/>
          <w:color w:val="000000"/>
          <w:kern w:val="0"/>
          <w:sz w:val="18"/>
          <w:szCs w:val="18"/>
          <w:lang w:val="sr-BA"/>
          <w14:ligatures w14:val="none"/>
        </w:rPr>
        <w:t>У динарима</w:t>
      </w:r>
    </w:p>
    <w:tbl>
      <w:tblPr>
        <w:tblStyle w:val="TableGrid8"/>
        <w:tblW w:w="9351"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4688"/>
        <w:gridCol w:w="1544"/>
        <w:gridCol w:w="1562"/>
        <w:gridCol w:w="1556"/>
      </w:tblGrid>
      <w:tr>
        <w:trPr/>
        <w:tc>
          <w:tcPr>
            <w:tcW w:w="4688" w:type="dxa"/>
            <w:tcBorders/>
            <w:shd w:color="auto" w:fill="D9E2F3" w:val="clear"/>
          </w:tcPr>
          <w:p>
            <w:pPr>
              <w:pStyle w:val="Normal"/>
              <w:widowControl w:val="false"/>
              <w:suppressAutoHyphens w:val="true"/>
              <w:spacing w:lineRule="auto" w:line="240" w:before="0" w:after="0"/>
              <w:jc w:val="both"/>
              <w:rPr>
                <w:rFonts w:ascii="Tahoma" w:hAnsi="Tahoma" w:eastAsia="Aptos" w:cs="Tahoma"/>
                <w:i/>
                <w:i/>
                <w:iCs/>
                <w:sz w:val="18"/>
                <w:szCs w:val="18"/>
                <w:lang w:val="sr-BA"/>
              </w:rPr>
            </w:pPr>
            <w:r>
              <w:rPr>
                <w:rFonts w:eastAsia="Aptos" w:cs="Tahoma" w:ascii="Tahoma" w:hAnsi="Tahoma"/>
                <w:i/>
                <w:iCs/>
                <w:kern w:val="2"/>
                <w:sz w:val="18"/>
                <w:szCs w:val="18"/>
                <w:lang w:val="sr-BA" w:eastAsia="en-US" w:bidi="ar-SA"/>
              </w:rPr>
              <w:t>Извор финансирања</w:t>
            </w:r>
          </w:p>
        </w:tc>
        <w:tc>
          <w:tcPr>
            <w:tcW w:w="1544" w:type="dxa"/>
            <w:tcBorders/>
            <w:shd w:color="auto" w:fill="D9E2F3" w:val="clear"/>
          </w:tcPr>
          <w:p>
            <w:pPr>
              <w:pStyle w:val="Normal"/>
              <w:widowControl w:val="false"/>
              <w:suppressAutoHyphens w:val="true"/>
              <w:spacing w:lineRule="auto" w:line="240" w:before="0" w:after="0"/>
              <w:jc w:val="center"/>
              <w:rPr>
                <w:rFonts w:ascii="Tahoma" w:hAnsi="Tahoma" w:eastAsia="Calibri" w:cs="Tahoma"/>
                <w:i/>
                <w:i/>
                <w:iCs/>
                <w:sz w:val="18"/>
                <w:szCs w:val="18"/>
                <w:lang w:val="sr-BA"/>
              </w:rPr>
            </w:pPr>
            <w:r>
              <w:rPr>
                <w:rFonts w:eastAsia="Calibri" w:cs="Tahoma" w:ascii="Tahoma" w:hAnsi="Tahoma"/>
                <w:i/>
                <w:iCs/>
                <w:kern w:val="2"/>
                <w:sz w:val="18"/>
                <w:szCs w:val="18"/>
                <w:lang w:val="sr-BA" w:eastAsia="en-US" w:bidi="ar-SA"/>
              </w:rPr>
              <w:t>2021</w:t>
            </w:r>
          </w:p>
        </w:tc>
        <w:tc>
          <w:tcPr>
            <w:tcW w:w="1562" w:type="dxa"/>
            <w:tcBorders/>
            <w:shd w:color="auto" w:fill="D9E2F3" w:val="clear"/>
          </w:tcPr>
          <w:p>
            <w:pPr>
              <w:pStyle w:val="Normal"/>
              <w:widowControl w:val="false"/>
              <w:suppressAutoHyphens w:val="true"/>
              <w:spacing w:lineRule="auto" w:line="240" w:before="0" w:after="0"/>
              <w:jc w:val="center"/>
              <w:rPr>
                <w:rFonts w:ascii="Tahoma" w:hAnsi="Tahoma" w:eastAsia="Calibri" w:cs="Tahoma"/>
                <w:i/>
                <w:i/>
                <w:iCs/>
                <w:sz w:val="18"/>
                <w:szCs w:val="18"/>
                <w:lang w:val="sr-BA"/>
              </w:rPr>
            </w:pPr>
            <w:r>
              <w:rPr>
                <w:rFonts w:eastAsia="Calibri" w:cs="Tahoma" w:ascii="Tahoma" w:hAnsi="Tahoma"/>
                <w:i/>
                <w:iCs/>
                <w:kern w:val="2"/>
                <w:sz w:val="18"/>
                <w:szCs w:val="18"/>
                <w:lang w:val="sr-BA" w:eastAsia="en-US" w:bidi="ar-SA"/>
              </w:rPr>
              <w:t>2022</w:t>
            </w:r>
          </w:p>
        </w:tc>
        <w:tc>
          <w:tcPr>
            <w:tcW w:w="1556" w:type="dxa"/>
            <w:tcBorders/>
            <w:shd w:color="auto" w:fill="D9E2F3" w:val="clear"/>
          </w:tcPr>
          <w:p>
            <w:pPr>
              <w:pStyle w:val="Normal"/>
              <w:widowControl w:val="false"/>
              <w:suppressAutoHyphens w:val="true"/>
              <w:spacing w:lineRule="auto" w:line="240" w:before="0" w:after="0"/>
              <w:jc w:val="center"/>
              <w:rPr>
                <w:rFonts w:ascii="Tahoma" w:hAnsi="Tahoma" w:eastAsia="Calibri" w:cs="Tahoma"/>
                <w:i/>
                <w:i/>
                <w:iCs/>
                <w:sz w:val="18"/>
                <w:szCs w:val="18"/>
                <w:lang w:val="sr-BA"/>
              </w:rPr>
            </w:pPr>
            <w:r>
              <w:rPr>
                <w:rFonts w:eastAsia="Calibri" w:cs="Tahoma" w:ascii="Tahoma" w:hAnsi="Tahoma"/>
                <w:i/>
                <w:iCs/>
                <w:kern w:val="2"/>
                <w:sz w:val="18"/>
                <w:szCs w:val="18"/>
                <w:lang w:val="sr-BA" w:eastAsia="en-US" w:bidi="ar-SA"/>
              </w:rPr>
              <w:t>2023</w:t>
            </w:r>
          </w:p>
        </w:tc>
      </w:tr>
      <w:tr>
        <w:trPr/>
        <w:tc>
          <w:tcPr>
            <w:tcW w:w="4688" w:type="dxa"/>
            <w:tcBorders/>
            <w:shd w:color="auto" w:fill="EDF1F9" w:val="clear"/>
          </w:tcPr>
          <w:p>
            <w:pPr>
              <w:pStyle w:val="Normal"/>
              <w:widowControl w:val="false"/>
              <w:suppressAutoHyphens w:val="true"/>
              <w:spacing w:lineRule="auto" w:line="240" w:before="0" w:after="0"/>
              <w:jc w:val="both"/>
              <w:rPr>
                <w:rFonts w:ascii="Tahoma" w:hAnsi="Tahoma" w:eastAsia="Aptos" w:cs="Tahoma"/>
                <w:b/>
                <w:b/>
                <w:bCs/>
                <w:sz w:val="18"/>
                <w:szCs w:val="18"/>
                <w:lang w:val="sr-BA"/>
              </w:rPr>
            </w:pPr>
            <w:r>
              <w:rPr>
                <w:rFonts w:eastAsia="Aptos" w:cs="Tahoma" w:ascii="Tahoma" w:hAnsi="Tahoma"/>
                <w:b/>
                <w:bCs/>
                <w:kern w:val="2"/>
                <w:sz w:val="18"/>
                <w:szCs w:val="18"/>
                <w:lang w:val="sr-BA" w:eastAsia="en-US" w:bidi="ar-SA"/>
              </w:rPr>
              <w:t>Услуга дневног смештаја и исхране ученика са посебним потребама</w:t>
            </w:r>
          </w:p>
        </w:tc>
        <w:tc>
          <w:tcPr>
            <w:tcW w:w="1544" w:type="dxa"/>
            <w:tcBorders/>
            <w:shd w:color="auto" w:fill="EDF1F9"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66.600</w:t>
            </w:r>
          </w:p>
        </w:tc>
        <w:tc>
          <w:tcPr>
            <w:tcW w:w="1562" w:type="dxa"/>
            <w:tcBorders/>
            <w:shd w:color="auto" w:fill="EDF1F9"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116.314</w:t>
            </w:r>
          </w:p>
        </w:tc>
        <w:tc>
          <w:tcPr>
            <w:tcW w:w="1556" w:type="dxa"/>
            <w:tcBorders/>
            <w:shd w:color="auto" w:fill="EDF1F9"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176.884</w:t>
            </w:r>
          </w:p>
        </w:tc>
      </w:tr>
      <w:tr>
        <w:trPr/>
        <w:tc>
          <w:tcPr>
            <w:tcW w:w="4688" w:type="dxa"/>
            <w:tcBorders/>
          </w:tcPr>
          <w:p>
            <w:pPr>
              <w:pStyle w:val="Normal"/>
              <w:widowControl w:val="false"/>
              <w:suppressAutoHyphens w:val="true"/>
              <w:spacing w:lineRule="auto" w:line="240" w:before="0" w:after="0"/>
              <w:ind w:start="523" w:hanging="0"/>
              <w:jc w:val="both"/>
              <w:rPr>
                <w:rFonts w:ascii="Tahoma" w:hAnsi="Tahoma" w:eastAsia="Aptos" w:cs="Tahoma"/>
                <w:sz w:val="18"/>
                <w:szCs w:val="18"/>
                <w:lang w:val="sr-BA"/>
              </w:rPr>
            </w:pPr>
            <w:r>
              <w:rPr>
                <w:rFonts w:eastAsia="Aptos" w:cs="Tahoma" w:ascii="Tahoma" w:hAnsi="Tahoma"/>
                <w:kern w:val="2"/>
                <w:sz w:val="18"/>
                <w:szCs w:val="18"/>
                <w:lang w:val="sr-BA" w:eastAsia="en-US" w:bidi="ar-SA"/>
              </w:rPr>
              <w:t>Средства из локалног буџета</w:t>
            </w:r>
          </w:p>
        </w:tc>
        <w:tc>
          <w:tcPr>
            <w:tcW w:w="1544" w:type="dxa"/>
            <w:tcBorders/>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66.600</w:t>
            </w:r>
          </w:p>
        </w:tc>
        <w:tc>
          <w:tcPr>
            <w:tcW w:w="1562" w:type="dxa"/>
            <w:tcBorders/>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116.314</w:t>
            </w:r>
          </w:p>
        </w:tc>
        <w:tc>
          <w:tcPr>
            <w:tcW w:w="1556" w:type="dxa"/>
            <w:tcBorders/>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176.884</w:t>
            </w:r>
          </w:p>
        </w:tc>
      </w:tr>
      <w:tr>
        <w:trPr/>
        <w:tc>
          <w:tcPr>
            <w:tcW w:w="4688" w:type="dxa"/>
            <w:tcBorders/>
          </w:tcPr>
          <w:p>
            <w:pPr>
              <w:pStyle w:val="Normal"/>
              <w:widowControl w:val="false"/>
              <w:suppressAutoHyphens w:val="true"/>
              <w:spacing w:lineRule="auto" w:line="240" w:before="0" w:after="0"/>
              <w:ind w:start="523" w:hanging="0"/>
              <w:jc w:val="both"/>
              <w:rPr>
                <w:rFonts w:ascii="Tahoma" w:hAnsi="Tahoma" w:eastAsia="Aptos" w:cs="Tahoma"/>
                <w:sz w:val="18"/>
                <w:szCs w:val="18"/>
                <w:lang w:val="sr-BA"/>
              </w:rPr>
            </w:pPr>
            <w:r>
              <w:rPr>
                <w:rFonts w:eastAsia="Aptos" w:cs="Tahoma" w:ascii="Tahoma" w:hAnsi="Tahoma"/>
                <w:kern w:val="2"/>
                <w:sz w:val="18"/>
                <w:szCs w:val="18"/>
                <w:lang w:val="sr-BA" w:eastAsia="en-US" w:bidi="ar-SA"/>
              </w:rPr>
              <w:t>Средства из осталих извора – наменски трансфери</w:t>
            </w:r>
          </w:p>
        </w:tc>
        <w:tc>
          <w:tcPr>
            <w:tcW w:w="1544" w:type="dxa"/>
            <w:tcBorders/>
            <w:vAlign w:val="center"/>
          </w:tcPr>
          <w:p>
            <w:pPr>
              <w:pStyle w:val="Normal"/>
              <w:widowControl w:val="false"/>
              <w:suppressAutoHyphens w:val="true"/>
              <w:spacing w:lineRule="auto" w:line="240" w:before="0" w:after="0"/>
              <w:jc w:val="end"/>
              <w:rPr>
                <w:rFonts w:ascii="Tahoma" w:hAnsi="Tahoma" w:eastAsia="Aptos" w:cs="Tahoma"/>
                <w:sz w:val="18"/>
                <w:szCs w:val="18"/>
                <w:lang w:val="en-US"/>
              </w:rPr>
            </w:pPr>
            <w:r>
              <w:rPr>
                <w:rFonts w:eastAsia="Aptos" w:cs="Tahoma" w:ascii="Tahoma" w:hAnsi="Tahoma"/>
                <w:sz w:val="18"/>
                <w:szCs w:val="18"/>
                <w:lang w:val="en-US"/>
              </w:rPr>
              <w:t>0</w:t>
            </w:r>
          </w:p>
        </w:tc>
        <w:tc>
          <w:tcPr>
            <w:tcW w:w="1562" w:type="dxa"/>
            <w:tcBorders/>
            <w:vAlign w:val="center"/>
          </w:tcPr>
          <w:p>
            <w:pPr>
              <w:pStyle w:val="Normal"/>
              <w:widowControl w:val="false"/>
              <w:suppressAutoHyphens w:val="true"/>
              <w:spacing w:lineRule="auto" w:line="240" w:before="0" w:after="0"/>
              <w:jc w:val="end"/>
              <w:rPr>
                <w:rFonts w:ascii="Tahoma" w:hAnsi="Tahoma" w:eastAsia="Aptos" w:cs="Tahoma"/>
                <w:sz w:val="18"/>
                <w:szCs w:val="18"/>
                <w:lang w:val="en-US"/>
              </w:rPr>
            </w:pPr>
            <w:r>
              <w:rPr>
                <w:rFonts w:eastAsia="Aptos" w:cs="Tahoma" w:ascii="Tahoma" w:hAnsi="Tahoma"/>
                <w:sz w:val="18"/>
                <w:szCs w:val="18"/>
                <w:lang w:val="en-US"/>
              </w:rPr>
              <w:t>0</w:t>
            </w:r>
          </w:p>
        </w:tc>
        <w:tc>
          <w:tcPr>
            <w:tcW w:w="1556" w:type="dxa"/>
            <w:tcBorders/>
            <w:vAlign w:val="center"/>
          </w:tcPr>
          <w:p>
            <w:pPr>
              <w:pStyle w:val="Normal"/>
              <w:widowControl w:val="false"/>
              <w:suppressAutoHyphens w:val="true"/>
              <w:spacing w:lineRule="auto" w:line="240" w:before="0" w:after="0"/>
              <w:jc w:val="end"/>
              <w:rPr>
                <w:rFonts w:ascii="Tahoma" w:hAnsi="Tahoma" w:eastAsia="Aptos" w:cs="Tahoma"/>
                <w:sz w:val="18"/>
                <w:szCs w:val="18"/>
                <w:lang w:val="en-US"/>
              </w:rPr>
            </w:pPr>
            <w:r>
              <w:rPr>
                <w:rFonts w:eastAsia="Aptos" w:cs="Tahoma" w:ascii="Tahoma" w:hAnsi="Tahoma"/>
                <w:sz w:val="18"/>
                <w:szCs w:val="18"/>
                <w:lang w:val="en-US"/>
              </w:rPr>
              <w:t>0</w:t>
            </w:r>
          </w:p>
        </w:tc>
      </w:tr>
      <w:tr>
        <w:trPr/>
        <w:tc>
          <w:tcPr>
            <w:tcW w:w="4688" w:type="dxa"/>
            <w:tcBorders/>
            <w:shd w:color="auto" w:fill="EDF1F9" w:val="clear"/>
          </w:tcPr>
          <w:p>
            <w:pPr>
              <w:pStyle w:val="Normal"/>
              <w:widowControl w:val="false"/>
              <w:suppressAutoHyphens w:val="true"/>
              <w:spacing w:lineRule="auto" w:line="240" w:before="0" w:after="0"/>
              <w:jc w:val="both"/>
              <w:rPr>
                <w:rFonts w:ascii="Tahoma" w:hAnsi="Tahoma" w:eastAsia="Aptos" w:cs="Tahoma"/>
                <w:b/>
                <w:b/>
                <w:bCs/>
                <w:sz w:val="18"/>
                <w:szCs w:val="18"/>
                <w:lang w:val="sr-BA"/>
              </w:rPr>
            </w:pPr>
            <w:r>
              <w:rPr>
                <w:rFonts w:eastAsia="Aptos" w:cs="Tahoma" w:ascii="Tahoma" w:hAnsi="Tahoma"/>
                <w:b/>
                <w:bCs/>
                <w:kern w:val="2"/>
                <w:sz w:val="18"/>
                <w:szCs w:val="18"/>
                <w:lang w:val="sr-BA" w:eastAsia="en-US" w:bidi="ar-SA"/>
              </w:rPr>
              <w:t>Укупна средства за услуге СЗ</w:t>
            </w:r>
          </w:p>
        </w:tc>
        <w:tc>
          <w:tcPr>
            <w:tcW w:w="1544" w:type="dxa"/>
            <w:tcBorders/>
            <w:shd w:color="auto" w:fill="EDF1F9"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39.905.157</w:t>
            </w:r>
          </w:p>
        </w:tc>
        <w:tc>
          <w:tcPr>
            <w:tcW w:w="1562" w:type="dxa"/>
            <w:tcBorders/>
            <w:shd w:color="auto" w:fill="EDF1F9"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76.449.348</w:t>
            </w:r>
          </w:p>
        </w:tc>
        <w:tc>
          <w:tcPr>
            <w:tcW w:w="1556" w:type="dxa"/>
            <w:tcBorders/>
            <w:shd w:color="auto" w:fill="EDF1F9"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70.993.136</w:t>
            </w:r>
          </w:p>
        </w:tc>
      </w:tr>
      <w:tr>
        <w:trPr/>
        <w:tc>
          <w:tcPr>
            <w:tcW w:w="4688" w:type="dxa"/>
            <w:tcBorders/>
            <w:shd w:color="auto" w:fill="D9E2F3" w:val="clear"/>
          </w:tcPr>
          <w:p>
            <w:pPr>
              <w:pStyle w:val="Normal"/>
              <w:widowControl w:val="false"/>
              <w:suppressAutoHyphens w:val="true"/>
              <w:spacing w:lineRule="auto" w:line="240" w:before="0" w:after="0"/>
              <w:ind w:start="523" w:hanging="0"/>
              <w:jc w:val="both"/>
              <w:rPr>
                <w:rFonts w:ascii="Tahoma" w:hAnsi="Tahoma" w:eastAsia="Aptos" w:cs="Tahoma"/>
                <w:b/>
                <w:b/>
                <w:bCs/>
                <w:sz w:val="18"/>
                <w:szCs w:val="18"/>
                <w:lang w:val="sr-BA"/>
              </w:rPr>
            </w:pPr>
            <w:r>
              <w:rPr>
                <w:rFonts w:eastAsia="Aptos" w:cs="Tahoma" w:ascii="Tahoma" w:hAnsi="Tahoma"/>
                <w:kern w:val="2"/>
                <w:sz w:val="18"/>
                <w:szCs w:val="18"/>
                <w:lang w:val="sr-BA" w:eastAsia="en-US" w:bidi="ar-SA"/>
              </w:rPr>
              <w:t>Средства из локалног буџета</w:t>
            </w:r>
          </w:p>
        </w:tc>
        <w:tc>
          <w:tcPr>
            <w:tcW w:w="1544" w:type="dxa"/>
            <w:tcBorders/>
            <w:shd w:color="auto" w:fill="D9E2F3"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39.905.157</w:t>
            </w:r>
          </w:p>
        </w:tc>
        <w:tc>
          <w:tcPr>
            <w:tcW w:w="1562" w:type="dxa"/>
            <w:tcBorders/>
            <w:shd w:color="auto" w:fill="D9E2F3"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76.449.348</w:t>
            </w:r>
          </w:p>
        </w:tc>
        <w:tc>
          <w:tcPr>
            <w:tcW w:w="1556" w:type="dxa"/>
            <w:tcBorders/>
            <w:shd w:color="auto" w:fill="D9E2F3"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70.993.136</w:t>
            </w:r>
          </w:p>
        </w:tc>
      </w:tr>
      <w:tr>
        <w:trPr/>
        <w:tc>
          <w:tcPr>
            <w:tcW w:w="4688" w:type="dxa"/>
            <w:tcBorders/>
            <w:shd w:color="auto" w:fill="D9E2F3" w:val="clear"/>
          </w:tcPr>
          <w:p>
            <w:pPr>
              <w:pStyle w:val="Normal"/>
              <w:widowControl w:val="false"/>
              <w:suppressAutoHyphens w:val="true"/>
              <w:spacing w:lineRule="auto" w:line="240" w:before="0" w:after="0"/>
              <w:ind w:start="523" w:hanging="0"/>
              <w:jc w:val="both"/>
              <w:rPr>
                <w:rFonts w:ascii="Tahoma" w:hAnsi="Tahoma" w:eastAsia="Aptos" w:cs="Tahoma"/>
                <w:b/>
                <w:b/>
                <w:bCs/>
                <w:sz w:val="18"/>
                <w:szCs w:val="18"/>
                <w:lang w:val="sr-BA"/>
              </w:rPr>
            </w:pPr>
            <w:r>
              <w:rPr>
                <w:rFonts w:eastAsia="Aptos" w:cs="Tahoma" w:ascii="Tahoma" w:hAnsi="Tahoma"/>
                <w:kern w:val="2"/>
                <w:sz w:val="18"/>
                <w:szCs w:val="18"/>
                <w:lang w:val="sr-BA" w:eastAsia="en-US" w:bidi="ar-SA"/>
              </w:rPr>
              <w:t>Средства из осталих извора – наменски трансфери</w:t>
            </w:r>
          </w:p>
        </w:tc>
        <w:tc>
          <w:tcPr>
            <w:tcW w:w="1544" w:type="dxa"/>
            <w:tcBorders/>
            <w:shd w:color="auto" w:fill="D9E2F3" w:val="clear"/>
            <w:vAlign w:val="center"/>
          </w:tcPr>
          <w:p>
            <w:pPr>
              <w:pStyle w:val="Normal"/>
              <w:widowControl w:val="false"/>
              <w:suppressAutoHyphens w:val="true"/>
              <w:spacing w:lineRule="auto" w:line="240" w:before="0" w:after="0"/>
              <w:jc w:val="end"/>
              <w:rPr>
                <w:rFonts w:ascii="Tahoma" w:hAnsi="Tahoma" w:eastAsia="Aptos" w:cs="Tahoma"/>
                <w:sz w:val="18"/>
                <w:szCs w:val="18"/>
                <w:lang w:val="en-US"/>
              </w:rPr>
            </w:pPr>
            <w:r>
              <w:rPr>
                <w:rFonts w:eastAsia="Aptos" w:cs="Tahoma" w:ascii="Tahoma" w:hAnsi="Tahoma"/>
                <w:sz w:val="18"/>
                <w:szCs w:val="18"/>
                <w:lang w:val="en-US"/>
              </w:rPr>
              <w:t>0</w:t>
            </w:r>
          </w:p>
        </w:tc>
        <w:tc>
          <w:tcPr>
            <w:tcW w:w="1562" w:type="dxa"/>
            <w:tcBorders/>
            <w:shd w:color="auto" w:fill="D9E2F3" w:val="clear"/>
            <w:vAlign w:val="center"/>
          </w:tcPr>
          <w:p>
            <w:pPr>
              <w:pStyle w:val="Normal"/>
              <w:widowControl w:val="false"/>
              <w:suppressAutoHyphens w:val="true"/>
              <w:spacing w:lineRule="auto" w:line="240" w:before="0" w:after="0"/>
              <w:jc w:val="end"/>
              <w:rPr>
                <w:rFonts w:ascii="Tahoma" w:hAnsi="Tahoma" w:eastAsia="Aptos" w:cs="Tahoma"/>
                <w:sz w:val="18"/>
                <w:szCs w:val="18"/>
                <w:lang w:val="en-US"/>
              </w:rPr>
            </w:pPr>
            <w:r>
              <w:rPr>
                <w:rFonts w:eastAsia="Aptos" w:cs="Tahoma" w:ascii="Tahoma" w:hAnsi="Tahoma"/>
                <w:sz w:val="18"/>
                <w:szCs w:val="18"/>
                <w:lang w:val="en-US"/>
              </w:rPr>
              <w:t>0</w:t>
            </w:r>
          </w:p>
        </w:tc>
        <w:tc>
          <w:tcPr>
            <w:tcW w:w="1556" w:type="dxa"/>
            <w:tcBorders/>
            <w:shd w:color="auto" w:fill="D9E2F3" w:val="clear"/>
            <w:vAlign w:val="center"/>
          </w:tcPr>
          <w:p>
            <w:pPr>
              <w:pStyle w:val="Normal"/>
              <w:widowControl w:val="false"/>
              <w:suppressAutoHyphens w:val="true"/>
              <w:spacing w:lineRule="auto" w:line="240" w:before="0" w:after="0"/>
              <w:jc w:val="end"/>
              <w:rPr>
                <w:rFonts w:ascii="Tahoma" w:hAnsi="Tahoma" w:eastAsia="Aptos" w:cs="Tahoma"/>
                <w:sz w:val="18"/>
                <w:szCs w:val="18"/>
                <w:lang w:val="en-US"/>
              </w:rPr>
            </w:pPr>
            <w:r>
              <w:rPr>
                <w:rFonts w:eastAsia="Aptos" w:cs="Tahoma" w:ascii="Tahoma" w:hAnsi="Tahoma"/>
                <w:sz w:val="18"/>
                <w:szCs w:val="18"/>
                <w:lang w:val="en-US"/>
              </w:rPr>
              <w:t>0</w:t>
            </w:r>
          </w:p>
        </w:tc>
      </w:tr>
    </w:tbl>
    <w:p>
      <w:pPr>
        <w:pStyle w:val="Normal"/>
        <w:shd w:val="clear" w:color="auto" w:fill="FFFFFF"/>
        <w:jc w:val="both"/>
        <w:rPr>
          <w:rFonts w:ascii="Century Gothic" w:hAnsi="Century Gothic" w:eastAsia="Times New Roman" w:cs="Times New Roman"/>
          <w:color w:val="000000"/>
          <w:kern w:val="0"/>
          <w:sz w:val="16"/>
          <w:szCs w:val="16"/>
          <w:lang w:val="sr-BA"/>
          <w14:ligatures w14:val="none"/>
        </w:rPr>
      </w:pPr>
      <w:r>
        <w:rPr>
          <w:rFonts w:eastAsia="Times New Roman" w:cs="Tahoma" w:ascii="Tahoma" w:hAnsi="Tahoma"/>
          <w:color w:val="000000"/>
          <w:kern w:val="0"/>
          <w:sz w:val="16"/>
          <w:szCs w:val="16"/>
          <w:lang w:val="sr-BA"/>
          <w14:ligatures w14:val="none"/>
        </w:rPr>
        <w:t>Извор:</w:t>
      </w:r>
      <w:r>
        <w:rPr>
          <w:rFonts w:eastAsia="Times New Roman" w:cs="Tahoma" w:ascii="Tahoma" w:hAnsi="Tahoma"/>
          <w:i/>
          <w:iCs/>
          <w:color w:val="000000"/>
          <w:kern w:val="0"/>
          <w:sz w:val="16"/>
          <w:szCs w:val="16"/>
          <w:lang w:val="sr-BA"/>
          <w14:ligatures w14:val="none"/>
        </w:rPr>
        <w:t xml:space="preserve"> Одлуке о буџету и одлуке о завршном рачуну буџета општине Беочин</w:t>
      </w:r>
    </w:p>
    <w:p>
      <w:pPr>
        <w:pStyle w:val="Normal"/>
        <w:shd w:val="clear" w:color="auto" w:fill="FFFFFF"/>
        <w:spacing w:before="0" w:after="0"/>
        <w:jc w:val="both"/>
        <w:rPr>
          <w:rFonts w:ascii="Century Gothic" w:hAnsi="Century Gothic" w:eastAsia="Times New Roman" w:cs="Times New Roman"/>
          <w:color w:val="000000"/>
          <w:kern w:val="0"/>
          <w:lang w:val="sr-BA"/>
          <w14:ligatures w14:val="none"/>
        </w:rPr>
      </w:pPr>
      <w:r>
        <w:rPr>
          <w:rFonts w:eastAsia="Times New Roman" w:cs="Times New Roman" w:ascii="Century Gothic" w:hAnsi="Century Gothic"/>
          <w:color w:val="000000"/>
          <w:kern w:val="0"/>
          <w:lang w:val="sr-BA"/>
          <w14:ligatures w14:val="none"/>
        </w:rPr>
        <w:tab/>
        <w:tab/>
        <w:tab/>
      </w:r>
    </w:p>
    <w:p>
      <w:pPr>
        <w:pStyle w:val="Normal"/>
        <w:shd w:val="clear" w:color="auto" w:fill="FFFFFF"/>
        <w:spacing w:before="0" w:after="0"/>
        <w:jc w:val="both"/>
        <w:rPr>
          <w:rFonts w:ascii="Century Gothic" w:hAnsi="Century Gothic" w:eastAsia="Times New Roman" w:cs="Times New Roman"/>
          <w:color w:val="000000"/>
          <w:kern w:val="0"/>
          <w:lang w:val="sr-BA"/>
          <w14:ligatures w14:val="none"/>
        </w:rPr>
      </w:pPr>
      <w:r>
        <w:rPr>
          <w:rFonts w:eastAsia="Times New Roman" w:cs="Times New Roman" w:ascii="Century Gothic" w:hAnsi="Century Gothic"/>
          <w:color w:val="000000"/>
          <w:kern w:val="0"/>
          <w:lang w:val="sr-BA"/>
          <w14:ligatures w14:val="none"/>
        </w:rPr>
        <w:tab/>
        <w:tab/>
        <w:tab/>
        <w:tab/>
        <w:tab/>
        <w:tab/>
        <w:tab/>
        <w:tab/>
        <w:t xml:space="preserve">                                     </w:t>
      </w:r>
      <w:r>
        <w:rPr>
          <w:rFonts w:eastAsia="Times New Roman" w:cs="Tahoma" w:ascii="Tahoma" w:hAnsi="Tahoma"/>
          <w:bCs/>
          <w:i/>
          <w:color w:val="000000"/>
          <w:kern w:val="0"/>
          <w:sz w:val="18"/>
          <w:szCs w:val="18"/>
          <w:lang w:val="sr-BA"/>
          <w14:ligatures w14:val="none"/>
        </w:rPr>
        <w:t>У динарима</w:t>
      </w:r>
    </w:p>
    <w:tbl>
      <w:tblPr>
        <w:tblStyle w:val="TableGrid51"/>
        <w:tblW w:w="9529"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1395"/>
        <w:gridCol w:w="1020"/>
        <w:gridCol w:w="446"/>
        <w:gridCol w:w="431"/>
        <w:gridCol w:w="430"/>
        <w:gridCol w:w="1093"/>
        <w:gridCol w:w="910"/>
        <w:gridCol w:w="428"/>
        <w:gridCol w:w="430"/>
        <w:gridCol w:w="1044"/>
        <w:gridCol w:w="890"/>
        <w:gridCol w:w="587"/>
        <w:gridCol w:w="424"/>
      </w:tblGrid>
      <w:tr>
        <w:trPr>
          <w:trHeight w:val="236" w:hRule="atLeast"/>
        </w:trPr>
        <w:tc>
          <w:tcPr>
            <w:tcW w:w="9528" w:type="dxa"/>
            <w:gridSpan w:val="13"/>
            <w:tcBorders/>
            <w:shd w:color="auto" w:fill="F2CDD1" w:val="clear"/>
          </w:tcPr>
          <w:p>
            <w:pPr>
              <w:pStyle w:val="Normal"/>
              <w:widowControl w:val="false"/>
              <w:suppressAutoHyphens w:val="true"/>
              <w:spacing w:lineRule="auto" w:line="240" w:before="0" w:after="0"/>
              <w:jc w:val="start"/>
              <w:rPr>
                <w:rFonts w:ascii="Tahoma" w:hAnsi="Tahoma" w:cs="Tahoma"/>
                <w:b/>
                <w:b/>
                <w:bCs/>
                <w:color w:val="000000"/>
                <w:sz w:val="18"/>
                <w:szCs w:val="18"/>
                <w:lang w:val="sr-BA"/>
              </w:rPr>
            </w:pPr>
            <w:r>
              <w:rPr>
                <w:rFonts w:eastAsia="Times New Roman" w:cs="Tahoma" w:ascii="Tahoma" w:hAnsi="Tahoma"/>
                <w:b/>
                <w:bCs/>
                <w:color w:val="000000"/>
                <w:kern w:val="0"/>
                <w:sz w:val="18"/>
                <w:szCs w:val="18"/>
                <w:lang w:val="sr-BA" w:eastAsia="en-US" w:bidi="ar-SA"/>
              </w:rPr>
              <w:t>ДНЕВНЕ УСЛУГЕ У ЗАЈЕДНИЦИ</w:t>
            </w:r>
          </w:p>
        </w:tc>
      </w:tr>
      <w:tr>
        <w:trPr>
          <w:trHeight w:val="59" w:hRule="atLeast"/>
        </w:trPr>
        <w:tc>
          <w:tcPr>
            <w:tcW w:w="1395" w:type="dxa"/>
            <w:tcBorders/>
          </w:tcPr>
          <w:p>
            <w:pPr>
              <w:pStyle w:val="Normal"/>
              <w:widowControl w:val="false"/>
              <w:suppressAutoHyphens w:val="true"/>
              <w:spacing w:lineRule="auto" w:line="240" w:before="0" w:after="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 xml:space="preserve"> </w:t>
            </w:r>
            <w:r>
              <w:rPr>
                <w:rFonts w:eastAsia="Times New Roman" w:cs="Tahoma" w:ascii="Tahoma" w:hAnsi="Tahoma"/>
                <w:color w:val="000000"/>
                <w:kern w:val="0"/>
                <w:sz w:val="16"/>
                <w:szCs w:val="16"/>
                <w:lang w:val="sr-BA" w:eastAsia="en-US" w:bidi="ar-SA"/>
              </w:rPr>
              <w:t>Година</w:t>
            </w:r>
          </w:p>
        </w:tc>
        <w:tc>
          <w:tcPr>
            <w:tcW w:w="2327" w:type="dxa"/>
            <w:gridSpan w:val="4"/>
            <w:tcBorders/>
          </w:tcPr>
          <w:p>
            <w:pPr>
              <w:pStyle w:val="Normal"/>
              <w:widowControl w:val="false"/>
              <w:suppressAutoHyphens w:val="true"/>
              <w:spacing w:lineRule="auto" w:line="240" w:before="0" w:after="0"/>
              <w:jc w:val="center"/>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2021</w:t>
            </w:r>
          </w:p>
        </w:tc>
        <w:tc>
          <w:tcPr>
            <w:tcW w:w="2861" w:type="dxa"/>
            <w:gridSpan w:val="4"/>
            <w:tcBorders/>
          </w:tcPr>
          <w:p>
            <w:pPr>
              <w:pStyle w:val="Normal"/>
              <w:widowControl w:val="false"/>
              <w:suppressAutoHyphens w:val="true"/>
              <w:spacing w:lineRule="auto" w:line="240" w:before="0" w:after="0"/>
              <w:jc w:val="center"/>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2022</w:t>
            </w:r>
          </w:p>
        </w:tc>
        <w:tc>
          <w:tcPr>
            <w:tcW w:w="2945" w:type="dxa"/>
            <w:gridSpan w:val="4"/>
            <w:tcBorders/>
          </w:tcPr>
          <w:p>
            <w:pPr>
              <w:pStyle w:val="Normal"/>
              <w:widowControl w:val="false"/>
              <w:suppressAutoHyphens w:val="true"/>
              <w:spacing w:lineRule="auto" w:line="240" w:before="0" w:after="0"/>
              <w:jc w:val="center"/>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2023</w:t>
            </w:r>
          </w:p>
        </w:tc>
      </w:tr>
      <w:tr>
        <w:trPr>
          <w:trHeight w:val="1578" w:hRule="atLeast"/>
          <w:cantSplit w:val="true"/>
        </w:trPr>
        <w:tc>
          <w:tcPr>
            <w:tcW w:w="1395" w:type="dxa"/>
            <w:tcBorders/>
          </w:tcPr>
          <w:p>
            <w:pPr>
              <w:pStyle w:val="Normal"/>
              <w:widowControl w:val="false"/>
              <w:suppressAutoHyphens w:val="true"/>
              <w:spacing w:lineRule="auto" w:line="240" w:before="0" w:after="0"/>
              <w:jc w:val="start"/>
              <w:rPr>
                <w:rFonts w:ascii="Tahoma" w:hAnsi="Tahoma" w:cs="Tahoma"/>
                <w:color w:val="000000"/>
                <w:sz w:val="16"/>
                <w:szCs w:val="16"/>
                <w:lang w:val="sr-BA"/>
              </w:rPr>
            </w:pPr>
            <w:r>
              <w:rPr>
                <w:rFonts w:cs="Tahoma" w:ascii="Tahoma" w:hAnsi="Tahoma"/>
                <w:color w:val="000000"/>
                <w:sz w:val="16"/>
                <w:szCs w:val="16"/>
                <w:lang w:val="sr-BA"/>
              </w:rPr>
            </w:r>
          </w:p>
          <w:p>
            <w:pPr>
              <w:pStyle w:val="Normal"/>
              <w:widowControl w:val="false"/>
              <w:suppressAutoHyphens w:val="true"/>
              <w:spacing w:lineRule="auto" w:line="240" w:before="0" w:after="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Услуга /извор</w:t>
            </w:r>
          </w:p>
        </w:tc>
        <w:tc>
          <w:tcPr>
            <w:tcW w:w="1020"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Буџет ЛС</w:t>
            </w:r>
          </w:p>
        </w:tc>
        <w:tc>
          <w:tcPr>
            <w:tcW w:w="446"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Буџет РС</w:t>
            </w:r>
          </w:p>
        </w:tc>
        <w:tc>
          <w:tcPr>
            <w:tcW w:w="431"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Др. извори</w:t>
            </w:r>
          </w:p>
        </w:tc>
        <w:tc>
          <w:tcPr>
            <w:tcW w:w="430"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Партиципација</w:t>
            </w:r>
          </w:p>
        </w:tc>
        <w:tc>
          <w:tcPr>
            <w:tcW w:w="1093"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Буџет ЛС</w:t>
            </w:r>
          </w:p>
        </w:tc>
        <w:tc>
          <w:tcPr>
            <w:tcW w:w="910"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Буџет РС</w:t>
            </w:r>
          </w:p>
        </w:tc>
        <w:tc>
          <w:tcPr>
            <w:tcW w:w="428"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Др. извори</w:t>
            </w:r>
          </w:p>
        </w:tc>
        <w:tc>
          <w:tcPr>
            <w:tcW w:w="430"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Партиципација</w:t>
            </w:r>
          </w:p>
        </w:tc>
        <w:tc>
          <w:tcPr>
            <w:tcW w:w="1044"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Буџет ЛС</w:t>
            </w:r>
          </w:p>
        </w:tc>
        <w:tc>
          <w:tcPr>
            <w:tcW w:w="890"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Буџет РС</w:t>
            </w:r>
          </w:p>
        </w:tc>
        <w:tc>
          <w:tcPr>
            <w:tcW w:w="587"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Др. Извори</w:t>
            </w:r>
          </w:p>
        </w:tc>
        <w:tc>
          <w:tcPr>
            <w:tcW w:w="424" w:type="dxa"/>
            <w:tcBorders/>
            <w:textDirection w:val="btLr"/>
          </w:tcPr>
          <w:p>
            <w:pPr>
              <w:pStyle w:val="Normal"/>
              <w:widowControl w:val="false"/>
              <w:suppressAutoHyphens w:val="true"/>
              <w:spacing w:lineRule="auto" w:line="240" w:before="0" w:after="0"/>
              <w:ind w:start="113" w:end="113" w:hanging="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Партиципација</w:t>
            </w:r>
          </w:p>
        </w:tc>
      </w:tr>
      <w:tr>
        <w:trPr>
          <w:trHeight w:val="595" w:hRule="atLeast"/>
        </w:trPr>
        <w:tc>
          <w:tcPr>
            <w:tcW w:w="1395" w:type="dxa"/>
            <w:tcBorders/>
          </w:tcPr>
          <w:p>
            <w:pPr>
              <w:pStyle w:val="Normal"/>
              <w:widowControl w:val="false"/>
              <w:suppressAutoHyphens w:val="true"/>
              <w:spacing w:lineRule="auto" w:line="240" w:before="0" w:after="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Услуга дневног смештаја и исхране ученика са посебним потребама</w:t>
            </w:r>
          </w:p>
        </w:tc>
        <w:tc>
          <w:tcPr>
            <w:tcW w:w="1020" w:type="dxa"/>
            <w:tcBorders/>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66.600</w:t>
            </w:r>
          </w:p>
        </w:tc>
        <w:tc>
          <w:tcPr>
            <w:tcW w:w="446"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431" w:type="dxa"/>
            <w:tcBorders/>
            <w:vAlign w:val="center"/>
          </w:tcPr>
          <w:p>
            <w:pPr>
              <w:pStyle w:val="Normal"/>
              <w:widowControl w:val="false"/>
              <w:suppressAutoHyphens w:val="true"/>
              <w:spacing w:lineRule="auto" w:line="240" w:before="0" w:after="0"/>
              <w:jc w:val="end"/>
              <w:rPr>
                <w:rFonts w:ascii="Tahoma" w:hAnsi="Tahoma" w:cs="Tahoma"/>
                <w:color w:val="000000"/>
                <w:sz w:val="14"/>
                <w:szCs w:val="14"/>
                <w:lang w:val="sr-BA"/>
              </w:rPr>
            </w:pPr>
            <w:r>
              <w:rPr>
                <w:rFonts w:cs="Tahoma" w:ascii="Tahoma" w:hAnsi="Tahoma"/>
                <w:color w:val="000000"/>
                <w:sz w:val="14"/>
                <w:szCs w:val="14"/>
                <w:lang w:val="sr-BA"/>
              </w:rPr>
            </w:r>
          </w:p>
        </w:tc>
        <w:tc>
          <w:tcPr>
            <w:tcW w:w="430"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1093" w:type="dxa"/>
            <w:tcBorders/>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116.314</w:t>
            </w:r>
          </w:p>
        </w:tc>
        <w:tc>
          <w:tcPr>
            <w:tcW w:w="910"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428"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430"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1044" w:type="dxa"/>
            <w:tcBorders/>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176.884</w:t>
            </w:r>
          </w:p>
        </w:tc>
        <w:tc>
          <w:tcPr>
            <w:tcW w:w="890"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587" w:type="dxa"/>
            <w:tcBorders/>
          </w:tcPr>
          <w:p>
            <w:pPr>
              <w:pStyle w:val="Normal"/>
              <w:widowControl w:val="false"/>
              <w:suppressAutoHyphens w:val="true"/>
              <w:spacing w:lineRule="auto" w:line="240" w:before="0" w:after="0"/>
              <w:jc w:val="start"/>
              <w:rPr>
                <w:rFonts w:ascii="Tahoma" w:hAnsi="Tahoma" w:cs="Tahoma"/>
                <w:color w:val="000000"/>
                <w:sz w:val="16"/>
                <w:szCs w:val="16"/>
                <w:lang w:val="sr-BA"/>
              </w:rPr>
            </w:pPr>
            <w:r>
              <w:rPr>
                <w:rFonts w:cs="Tahoma" w:ascii="Tahoma" w:hAnsi="Tahoma"/>
                <w:color w:val="000000"/>
                <w:sz w:val="16"/>
                <w:szCs w:val="16"/>
                <w:lang w:val="sr-BA"/>
              </w:rPr>
            </w:r>
          </w:p>
        </w:tc>
        <w:tc>
          <w:tcPr>
            <w:tcW w:w="424" w:type="dxa"/>
            <w:tcBorders/>
          </w:tcPr>
          <w:p>
            <w:pPr>
              <w:pStyle w:val="Normal"/>
              <w:widowControl w:val="false"/>
              <w:suppressAutoHyphens w:val="true"/>
              <w:spacing w:lineRule="auto" w:line="240" w:before="0" w:after="0"/>
              <w:jc w:val="start"/>
              <w:rPr>
                <w:rFonts w:ascii="Tahoma" w:hAnsi="Tahoma" w:cs="Tahoma"/>
                <w:color w:val="000000"/>
                <w:sz w:val="16"/>
                <w:szCs w:val="16"/>
                <w:lang w:val="sr-BA"/>
              </w:rPr>
            </w:pPr>
            <w:r>
              <w:rPr>
                <w:rFonts w:cs="Tahoma" w:ascii="Tahoma" w:hAnsi="Tahoma"/>
                <w:color w:val="000000"/>
                <w:sz w:val="16"/>
                <w:szCs w:val="16"/>
                <w:lang w:val="sr-BA"/>
              </w:rPr>
            </w:r>
          </w:p>
        </w:tc>
      </w:tr>
      <w:tr>
        <w:trPr>
          <w:trHeight w:val="595" w:hRule="atLeast"/>
        </w:trPr>
        <w:tc>
          <w:tcPr>
            <w:tcW w:w="1395" w:type="dxa"/>
            <w:tcBorders/>
          </w:tcPr>
          <w:p>
            <w:pPr>
              <w:pStyle w:val="Normal"/>
              <w:widowControl w:val="false"/>
              <w:suppressAutoHyphens w:val="true"/>
              <w:spacing w:lineRule="auto" w:line="240" w:before="0" w:after="0"/>
              <w:jc w:val="start"/>
              <w:rPr>
                <w:rFonts w:ascii="Tahoma" w:hAnsi="Tahoma" w:cs="Tahoma"/>
                <w:color w:val="000000"/>
                <w:sz w:val="16"/>
                <w:szCs w:val="16"/>
                <w:lang w:val="sr-BA"/>
              </w:rPr>
            </w:pPr>
            <w:r>
              <w:rPr>
                <w:rFonts w:cs="Tahoma" w:ascii="Tahoma" w:hAnsi="Tahoma"/>
                <w:color w:val="000000"/>
                <w:sz w:val="16"/>
                <w:szCs w:val="16"/>
                <w:lang w:val="sr-BA"/>
              </w:rPr>
            </w:r>
          </w:p>
        </w:tc>
        <w:tc>
          <w:tcPr>
            <w:tcW w:w="1020" w:type="dxa"/>
            <w:tcBorders/>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r>
          </w:p>
        </w:tc>
        <w:tc>
          <w:tcPr>
            <w:tcW w:w="446" w:type="dxa"/>
            <w:tcBorders/>
            <w:vAlign w:val="center"/>
          </w:tcPr>
          <w:p>
            <w:pPr>
              <w:pStyle w:val="Normal"/>
              <w:widowControl w:val="false"/>
              <w:suppressAutoHyphens w:val="true"/>
              <w:spacing w:lineRule="auto" w:line="240" w:before="0" w:after="0"/>
              <w:jc w:val="end"/>
              <w:rPr>
                <w:rFonts w:ascii="Tahoma" w:hAnsi="Tahoma" w:cs="Tahoma"/>
                <w:sz w:val="16"/>
                <w:szCs w:val="16"/>
                <w:lang w:val="sr-BA"/>
              </w:rPr>
            </w:pPr>
            <w:r>
              <w:rPr>
                <w:rFonts w:cs="Tahoma" w:ascii="Tahoma" w:hAnsi="Tahoma"/>
                <w:sz w:val="16"/>
                <w:szCs w:val="16"/>
                <w:lang w:val="sr-BA"/>
              </w:rPr>
            </w:r>
          </w:p>
        </w:tc>
        <w:tc>
          <w:tcPr>
            <w:tcW w:w="431" w:type="dxa"/>
            <w:tcBorders/>
            <w:vAlign w:val="center"/>
          </w:tcPr>
          <w:p>
            <w:pPr>
              <w:pStyle w:val="Normal"/>
              <w:widowControl w:val="false"/>
              <w:suppressAutoHyphens w:val="true"/>
              <w:spacing w:lineRule="auto" w:line="240" w:before="0" w:after="0"/>
              <w:jc w:val="end"/>
              <w:rPr>
                <w:rFonts w:ascii="Tahoma" w:hAnsi="Tahoma" w:cs="Tahoma"/>
                <w:color w:val="000000"/>
                <w:sz w:val="14"/>
                <w:szCs w:val="14"/>
                <w:lang w:val="sr-BA"/>
              </w:rPr>
            </w:pPr>
            <w:r>
              <w:rPr>
                <w:rFonts w:cs="Tahoma" w:ascii="Tahoma" w:hAnsi="Tahoma"/>
                <w:color w:val="000000"/>
                <w:sz w:val="14"/>
                <w:szCs w:val="14"/>
                <w:lang w:val="sr-BA"/>
              </w:rPr>
            </w:r>
          </w:p>
        </w:tc>
        <w:tc>
          <w:tcPr>
            <w:tcW w:w="430"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1093"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910"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428"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430"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1044"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890" w:type="dxa"/>
            <w:tcBorders/>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587" w:type="dxa"/>
            <w:tcBorders/>
          </w:tcPr>
          <w:p>
            <w:pPr>
              <w:pStyle w:val="Normal"/>
              <w:widowControl w:val="false"/>
              <w:suppressAutoHyphens w:val="true"/>
              <w:spacing w:lineRule="auto" w:line="240" w:before="0" w:after="0"/>
              <w:jc w:val="start"/>
              <w:rPr>
                <w:rFonts w:ascii="Tahoma" w:hAnsi="Tahoma" w:cs="Tahoma"/>
                <w:color w:val="000000"/>
                <w:sz w:val="16"/>
                <w:szCs w:val="16"/>
                <w:lang w:val="sr-BA"/>
              </w:rPr>
            </w:pPr>
            <w:r>
              <w:rPr>
                <w:rFonts w:cs="Tahoma" w:ascii="Tahoma" w:hAnsi="Tahoma"/>
                <w:color w:val="000000"/>
                <w:sz w:val="16"/>
                <w:szCs w:val="16"/>
                <w:lang w:val="sr-BA"/>
              </w:rPr>
            </w:r>
          </w:p>
        </w:tc>
        <w:tc>
          <w:tcPr>
            <w:tcW w:w="424" w:type="dxa"/>
            <w:tcBorders/>
          </w:tcPr>
          <w:p>
            <w:pPr>
              <w:pStyle w:val="Normal"/>
              <w:widowControl w:val="false"/>
              <w:suppressAutoHyphens w:val="true"/>
              <w:spacing w:lineRule="auto" w:line="240" w:before="0" w:after="0"/>
              <w:jc w:val="start"/>
              <w:rPr>
                <w:rFonts w:ascii="Tahoma" w:hAnsi="Tahoma" w:cs="Tahoma"/>
                <w:color w:val="000000"/>
                <w:sz w:val="16"/>
                <w:szCs w:val="16"/>
                <w:lang w:val="sr-BA"/>
              </w:rPr>
            </w:pPr>
            <w:r>
              <w:rPr>
                <w:rFonts w:cs="Tahoma" w:ascii="Tahoma" w:hAnsi="Tahoma"/>
                <w:color w:val="000000"/>
                <w:sz w:val="16"/>
                <w:szCs w:val="16"/>
                <w:lang w:val="sr-BA"/>
              </w:rPr>
            </w:r>
          </w:p>
        </w:tc>
      </w:tr>
      <w:tr>
        <w:trPr>
          <w:trHeight w:val="243" w:hRule="atLeast"/>
        </w:trPr>
        <w:tc>
          <w:tcPr>
            <w:tcW w:w="1395" w:type="dxa"/>
            <w:tcBorders/>
            <w:shd w:color="auto" w:fill="F2F2F2" w:val="clear"/>
          </w:tcPr>
          <w:p>
            <w:pPr>
              <w:pStyle w:val="Normal"/>
              <w:widowControl w:val="false"/>
              <w:suppressAutoHyphens w:val="true"/>
              <w:spacing w:lineRule="auto" w:line="240" w:before="0" w:after="0"/>
              <w:jc w:val="start"/>
              <w:rPr>
                <w:rFonts w:ascii="Tahoma" w:hAnsi="Tahoma" w:cs="Tahoma"/>
                <w:color w:val="000000"/>
                <w:sz w:val="16"/>
                <w:szCs w:val="16"/>
                <w:lang w:val="sr-BA"/>
              </w:rPr>
            </w:pPr>
            <w:r>
              <w:rPr>
                <w:rFonts w:eastAsia="Times New Roman" w:cs="Tahoma" w:ascii="Tahoma" w:hAnsi="Tahoma"/>
                <w:color w:val="000000"/>
                <w:kern w:val="0"/>
                <w:sz w:val="16"/>
                <w:szCs w:val="16"/>
                <w:lang w:val="sr-BA" w:eastAsia="en-US" w:bidi="ar-SA"/>
              </w:rPr>
              <w:t>УКУНО</w:t>
            </w:r>
          </w:p>
        </w:tc>
        <w:tc>
          <w:tcPr>
            <w:tcW w:w="1020" w:type="dxa"/>
            <w:tcBorders/>
            <w:shd w:color="auto" w:fill="F2F2F2"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66.600</w:t>
            </w:r>
          </w:p>
        </w:tc>
        <w:tc>
          <w:tcPr>
            <w:tcW w:w="446" w:type="dxa"/>
            <w:tcBorders/>
            <w:shd w:color="auto" w:fill="F2F2F2" w:val="clear"/>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431" w:type="dxa"/>
            <w:tcBorders/>
            <w:shd w:color="auto" w:fill="F2F2F2" w:val="clear"/>
            <w:vAlign w:val="center"/>
          </w:tcPr>
          <w:p>
            <w:pPr>
              <w:pStyle w:val="Normal"/>
              <w:widowControl w:val="false"/>
              <w:suppressAutoHyphens w:val="true"/>
              <w:spacing w:lineRule="auto" w:line="240" w:before="0" w:after="0"/>
              <w:jc w:val="end"/>
              <w:rPr>
                <w:rFonts w:ascii="Tahoma" w:hAnsi="Tahoma" w:cs="Tahoma"/>
                <w:color w:val="000000"/>
                <w:sz w:val="14"/>
                <w:szCs w:val="14"/>
                <w:lang w:val="sr-BA"/>
              </w:rPr>
            </w:pPr>
            <w:r>
              <w:rPr>
                <w:rFonts w:cs="Tahoma" w:ascii="Tahoma" w:hAnsi="Tahoma"/>
                <w:color w:val="000000"/>
                <w:sz w:val="14"/>
                <w:szCs w:val="14"/>
                <w:lang w:val="sr-BA"/>
              </w:rPr>
            </w:r>
          </w:p>
        </w:tc>
        <w:tc>
          <w:tcPr>
            <w:tcW w:w="430" w:type="dxa"/>
            <w:tcBorders/>
            <w:shd w:color="auto" w:fill="F2F2F2" w:val="clear"/>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1093" w:type="dxa"/>
            <w:tcBorders/>
            <w:shd w:color="auto" w:fill="F2F2F2"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116.314</w:t>
            </w:r>
          </w:p>
        </w:tc>
        <w:tc>
          <w:tcPr>
            <w:tcW w:w="910" w:type="dxa"/>
            <w:tcBorders/>
            <w:shd w:color="auto" w:fill="F2F2F2" w:val="clear"/>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428" w:type="dxa"/>
            <w:tcBorders/>
            <w:shd w:color="auto" w:fill="F2F2F2" w:val="clear"/>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430" w:type="dxa"/>
            <w:tcBorders/>
            <w:shd w:color="auto" w:fill="F2F2F2" w:val="clear"/>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1044" w:type="dxa"/>
            <w:tcBorders/>
            <w:shd w:color="auto" w:fill="F2F2F2" w:val="clear"/>
            <w:vAlign w:val="center"/>
          </w:tcPr>
          <w:p>
            <w:pPr>
              <w:pStyle w:val="Normal"/>
              <w:widowControl w:val="false"/>
              <w:suppressAutoHyphens w:val="true"/>
              <w:spacing w:lineRule="auto" w:line="240" w:before="0" w:after="0"/>
              <w:jc w:val="end"/>
              <w:rPr>
                <w:rFonts w:ascii="Tahoma" w:hAnsi="Tahoma" w:eastAsia="Aptos" w:cs="Tahoma"/>
                <w:b/>
                <w:b/>
                <w:bCs/>
                <w:sz w:val="18"/>
                <w:szCs w:val="18"/>
                <w:lang w:val="en-US"/>
              </w:rPr>
            </w:pPr>
            <w:r>
              <w:rPr>
                <w:rFonts w:eastAsia="Aptos" w:cs="Tahoma" w:ascii="Tahoma" w:hAnsi="Tahoma"/>
                <w:b/>
                <w:bCs/>
                <w:sz w:val="18"/>
                <w:szCs w:val="18"/>
                <w:lang w:val="en-US"/>
              </w:rPr>
              <w:t>176.884</w:t>
            </w:r>
          </w:p>
        </w:tc>
        <w:tc>
          <w:tcPr>
            <w:tcW w:w="890" w:type="dxa"/>
            <w:tcBorders/>
            <w:shd w:color="auto" w:fill="F2F2F2" w:val="clear"/>
            <w:vAlign w:val="center"/>
          </w:tcPr>
          <w:p>
            <w:pPr>
              <w:pStyle w:val="Normal"/>
              <w:widowControl w:val="false"/>
              <w:suppressAutoHyphens w:val="true"/>
              <w:spacing w:lineRule="auto" w:line="240" w:before="0" w:after="0"/>
              <w:jc w:val="end"/>
              <w:rPr>
                <w:rFonts w:ascii="Tahoma" w:hAnsi="Tahoma" w:cs="Tahoma"/>
                <w:color w:val="000000"/>
                <w:sz w:val="16"/>
                <w:szCs w:val="16"/>
                <w:lang w:val="sr-BA"/>
              </w:rPr>
            </w:pPr>
            <w:r>
              <w:rPr>
                <w:rFonts w:cs="Tahoma" w:ascii="Tahoma" w:hAnsi="Tahoma"/>
                <w:color w:val="000000"/>
                <w:sz w:val="16"/>
                <w:szCs w:val="16"/>
                <w:lang w:val="sr-BA"/>
              </w:rPr>
            </w:r>
          </w:p>
        </w:tc>
        <w:tc>
          <w:tcPr>
            <w:tcW w:w="587" w:type="dxa"/>
            <w:tcBorders/>
            <w:shd w:color="auto" w:fill="F2F2F2" w:val="clear"/>
          </w:tcPr>
          <w:p>
            <w:pPr>
              <w:pStyle w:val="Normal"/>
              <w:widowControl w:val="false"/>
              <w:suppressAutoHyphens w:val="true"/>
              <w:spacing w:lineRule="auto" w:line="240" w:before="0" w:after="0"/>
              <w:jc w:val="start"/>
              <w:rPr>
                <w:rFonts w:ascii="Tahoma" w:hAnsi="Tahoma" w:cs="Tahoma"/>
                <w:color w:val="000000"/>
                <w:sz w:val="16"/>
                <w:szCs w:val="16"/>
                <w:lang w:val="sr-BA"/>
              </w:rPr>
            </w:pPr>
            <w:r>
              <w:rPr>
                <w:rFonts w:cs="Tahoma" w:ascii="Tahoma" w:hAnsi="Tahoma"/>
                <w:color w:val="000000"/>
                <w:sz w:val="16"/>
                <w:szCs w:val="16"/>
                <w:lang w:val="sr-BA"/>
              </w:rPr>
            </w:r>
          </w:p>
        </w:tc>
        <w:tc>
          <w:tcPr>
            <w:tcW w:w="424" w:type="dxa"/>
            <w:tcBorders/>
            <w:shd w:color="auto" w:fill="F2F2F2" w:val="clear"/>
          </w:tcPr>
          <w:p>
            <w:pPr>
              <w:pStyle w:val="Normal"/>
              <w:widowControl w:val="false"/>
              <w:suppressAutoHyphens w:val="true"/>
              <w:spacing w:lineRule="auto" w:line="240" w:before="0" w:after="0"/>
              <w:jc w:val="start"/>
              <w:rPr>
                <w:rFonts w:ascii="Tahoma" w:hAnsi="Tahoma" w:cs="Tahoma"/>
                <w:color w:val="000000"/>
                <w:sz w:val="16"/>
                <w:szCs w:val="16"/>
                <w:lang w:val="sr-BA"/>
              </w:rPr>
            </w:pPr>
            <w:r>
              <w:rPr>
                <w:rFonts w:cs="Tahoma" w:ascii="Tahoma" w:hAnsi="Tahoma"/>
                <w:color w:val="000000"/>
                <w:sz w:val="16"/>
                <w:szCs w:val="16"/>
                <w:lang w:val="sr-BA"/>
              </w:rPr>
            </w:r>
          </w:p>
        </w:tc>
      </w:tr>
    </w:tbl>
    <w:p>
      <w:pPr>
        <w:pStyle w:val="Normal"/>
        <w:rPr>
          <w:rFonts w:ascii="Tahoma" w:hAnsi="Tahoma" w:eastAsia="Times New Roman" w:cs="Tahoma"/>
          <w:i/>
          <w:i/>
          <w:iCs/>
          <w:kern w:val="0"/>
          <w:sz w:val="16"/>
          <w:szCs w:val="16"/>
          <w:lang w:val="sr-BA"/>
          <w14:ligatures w14:val="none"/>
        </w:rPr>
      </w:pPr>
      <w:r>
        <w:rPr>
          <w:rFonts w:eastAsia="Times New Roman" w:cs="Tahoma" w:ascii="Tahoma" w:hAnsi="Tahoma"/>
          <w:color w:val="000000"/>
          <w:kern w:val="0"/>
          <w:sz w:val="16"/>
          <w:szCs w:val="16"/>
          <w:lang w:val="sr-BA"/>
          <w14:ligatures w14:val="none"/>
        </w:rPr>
        <w:t>Извор:</w:t>
      </w:r>
      <w:r>
        <w:rPr>
          <w:rFonts w:eastAsia="Times New Roman" w:cs="Tahoma" w:ascii="Tahoma" w:hAnsi="Tahoma"/>
          <w:i/>
          <w:iCs/>
          <w:color w:val="000000"/>
          <w:kern w:val="0"/>
          <w:sz w:val="16"/>
          <w:szCs w:val="16"/>
          <w:lang w:val="sr-BA"/>
          <w14:ligatures w14:val="none"/>
        </w:rPr>
        <w:t xml:space="preserve"> Одлуке о буџету и одлуке о завршном рачуну буџета општине Беочин</w:t>
      </w:r>
    </w:p>
    <w:tbl>
      <w:tblPr>
        <w:tblStyle w:val="TableGrid51"/>
        <w:tblW w:w="9351" w:type="dxa"/>
        <w:jc w:val="start"/>
        <w:tblInd w:w="0" w:type="dxa"/>
        <w:tblLayout w:type="fixed"/>
        <w:tblCellMar>
          <w:top w:w="0" w:type="dxa"/>
          <w:start w:w="108" w:type="dxa"/>
          <w:bottom w:w="0" w:type="dxa"/>
          <w:end w:w="108" w:type="dxa"/>
        </w:tblCellMar>
        <w:tblLook w:firstRow="1" w:noVBand="1" w:lastRow="0" w:firstColumn="1" w:lastColumn="0" w:noHBand="0" w:val="04a0"/>
      </w:tblPr>
      <w:tblGrid>
        <w:gridCol w:w="9351"/>
      </w:tblGrid>
      <w:tr>
        <w:trPr>
          <w:trHeight w:val="359" w:hRule="atLeast"/>
        </w:trPr>
        <w:tc>
          <w:tcPr>
            <w:tcW w:w="9351" w:type="dxa"/>
            <w:tcBorders/>
            <w:shd w:color="auto" w:fill="F2F2F2" w:val="clear"/>
          </w:tcPr>
          <w:p>
            <w:pPr>
              <w:pStyle w:val="Normal"/>
              <w:widowControl w:val="false"/>
              <w:suppressAutoHyphens w:val="true"/>
              <w:spacing w:lineRule="auto" w:line="240" w:before="0" w:after="0"/>
              <w:jc w:val="start"/>
              <w:rPr>
                <w:rFonts w:ascii="Tahoma" w:hAnsi="Tahoma" w:cs="Tahoma"/>
                <w:sz w:val="18"/>
                <w:szCs w:val="18"/>
                <w:lang w:val="sr-BA"/>
              </w:rPr>
            </w:pPr>
            <w:r>
              <w:rPr>
                <w:rFonts w:eastAsia="Times New Roman" w:cs="Tahoma" w:ascii="Tahoma" w:hAnsi="Tahoma"/>
                <w:kern w:val="0"/>
                <w:sz w:val="18"/>
                <w:szCs w:val="18"/>
                <w:lang w:val="sr-BA" w:eastAsia="en-US" w:bidi="ar-SA"/>
              </w:rPr>
              <w:t>Коментар</w:t>
            </w:r>
          </w:p>
        </w:tc>
      </w:tr>
      <w:tr>
        <w:trPr>
          <w:trHeight w:val="606" w:hRule="atLeast"/>
        </w:trPr>
        <w:tc>
          <w:tcPr>
            <w:tcW w:w="9351" w:type="dxa"/>
            <w:tcBorders/>
          </w:tcPr>
          <w:p>
            <w:pPr>
              <w:pStyle w:val="Normal"/>
              <w:widowControl w:val="false"/>
              <w:tabs>
                <w:tab w:val="clear" w:pos="720"/>
                <w:tab w:val="left" w:pos="935" w:leader="none"/>
              </w:tabs>
              <w:suppressAutoHyphens w:val="true"/>
              <w:spacing w:lineRule="auto" w:line="240" w:before="0" w:after="160"/>
              <w:jc w:val="both"/>
              <w:rPr>
                <w:rFonts w:ascii="Tahoma" w:hAnsi="Tahoma" w:cs="Tahoma"/>
                <w:sz w:val="20"/>
                <w:szCs w:val="20"/>
                <w:lang w:val="sr-BA"/>
              </w:rPr>
            </w:pPr>
            <w:r>
              <w:rPr>
                <w:rFonts w:eastAsia="Times New Roman" w:cs="Tahoma" w:ascii="Tahoma" w:hAnsi="Tahoma"/>
                <w:kern w:val="0"/>
                <w:sz w:val="20"/>
                <w:szCs w:val="20"/>
                <w:lang w:val="sr-BA" w:eastAsia="en-US" w:bidi="ar-SA"/>
              </w:rPr>
              <w:t>Из табеле се може видети да се услуга „дневни смештај и исхрана ученика са посебним потребама у школу „Милан Петровић“ финансира искључиво из буџета Општине, без наменских трансфера са републичког нивоа. У просеку, средства намењена за ову услугу чине 2,4% укупних средстава издвојених за функцију социјалне заштите, односно 1,3% укупних расхода у Програму 11 – Социјална и дечија заштита.</w:t>
            </w:r>
          </w:p>
        </w:tc>
      </w:tr>
    </w:tbl>
    <w:p>
      <w:pPr>
        <w:pStyle w:val="Normal"/>
        <w:rPr>
          <w:rFonts w:ascii="Tahoma" w:hAnsi="Tahoma" w:eastAsia="Aptos" w:cs="Tahoma"/>
          <w:lang w:val="sr-BA"/>
        </w:rPr>
      </w:pPr>
      <w:r>
        <w:rPr>
          <w:rFonts w:eastAsia="Aptos" w:cs="Tahoma" w:ascii="Tahoma" w:hAnsi="Tahoma"/>
          <w:lang w:val="sr-BA"/>
        </w:rPr>
      </w:r>
    </w:p>
    <w:p>
      <w:pPr>
        <w:pStyle w:val="Heading2"/>
        <w:jc w:val="both"/>
        <w:rPr>
          <w:rFonts w:ascii="Tahoma" w:hAnsi="Tahoma" w:cs="Tahoma"/>
          <w:sz w:val="28"/>
          <w:szCs w:val="28"/>
          <w:lang w:val="sr-RS"/>
        </w:rPr>
      </w:pPr>
      <w:bookmarkStart w:id="41" w:name="_Toc188459120"/>
      <w:bookmarkStart w:id="42" w:name="_Toc188876964"/>
      <w:r>
        <w:rPr>
          <w:rFonts w:cs="Tahoma" w:ascii="Tahoma" w:hAnsi="Tahoma"/>
          <w:sz w:val="28"/>
          <w:szCs w:val="28"/>
          <w:lang w:val="sr-RS"/>
        </w:rPr>
        <w:t>Прилог 3 – Институционални капацитети за обезбеђивање социјалне заштите</w:t>
      </w:r>
      <w:bookmarkEnd w:id="41"/>
      <w:bookmarkEnd w:id="42"/>
    </w:p>
    <w:p>
      <w:pPr>
        <w:pStyle w:val="Normal"/>
        <w:rPr>
          <w:lang w:val="sr-RS"/>
        </w:rPr>
      </w:pPr>
      <w:r>
        <w:rPr>
          <w:lang w:val="sr-RS"/>
        </w:rPr>
      </w:r>
    </w:p>
    <w:p>
      <w:pPr>
        <w:pStyle w:val="Normal"/>
        <w:spacing w:lineRule="auto" w:line="240" w:before="0" w:after="0"/>
        <w:jc w:val="both"/>
        <w:rPr>
          <w:rFonts w:ascii="Tahoma" w:hAnsi="Tahoma" w:cs="Tahoma"/>
          <w:sz w:val="20"/>
          <w:lang w:val="sr-RS"/>
        </w:rPr>
      </w:pPr>
      <w:r>
        <w:rPr>
          <w:rFonts w:cs="Tahoma" w:ascii="Tahoma" w:hAnsi="Tahoma"/>
          <w:sz w:val="20"/>
          <w:lang w:val="sr-RS"/>
        </w:rPr>
        <w:t>Органи Општине су: Скупштина, Председник општине, Општинско веће, Општинска управа и Правобранилаштво општине Беочин. Општинско веће чине Председник општине, Заменик председника општине и 7 чланова. Међу члановима Општинског већа именована је чланица задужена за област образовања, здравствену и дечију заштиту и социјална давања.</w:t>
      </w:r>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before="0" w:after="0"/>
        <w:jc w:val="both"/>
        <w:rPr>
          <w:rFonts w:ascii="Tahoma" w:hAnsi="Tahoma" w:cs="Tahoma"/>
          <w:b/>
          <w:b/>
          <w:sz w:val="20"/>
          <w:lang w:val="sr-RS"/>
        </w:rPr>
      </w:pPr>
      <w:r>
        <w:rPr>
          <w:rFonts w:cs="Tahoma" w:ascii="Tahoma" w:hAnsi="Tahoma"/>
          <w:sz w:val="20"/>
          <w:lang w:val="sr-RS"/>
        </w:rPr>
        <w:t xml:space="preserve">Одлуком о социјалној заштити је предвиђено да за потребе унапређења социјалне заштите, Општинско веће, у складу са Статутом општине може да оснује </w:t>
      </w:r>
      <w:r>
        <w:rPr>
          <w:rFonts w:cs="Tahoma" w:ascii="Tahoma" w:hAnsi="Tahoma"/>
          <w:i/>
          <w:sz w:val="20"/>
          <w:lang w:val="sr-RS"/>
        </w:rPr>
        <w:t>Савет за социјалну заштиту</w:t>
      </w:r>
      <w:r>
        <w:rPr>
          <w:rFonts w:cs="Tahoma" w:ascii="Tahoma" w:hAnsi="Tahoma"/>
          <w:sz w:val="20"/>
          <w:lang w:val="sr-RS"/>
        </w:rPr>
        <w:t xml:space="preserve">, као саветодавно тело. Једна од препорука из анализе стања односи се управо на Савет односно да би требало би оформити Савет и то као стално радно тело Скупштине општине. </w:t>
      </w:r>
    </w:p>
    <w:p>
      <w:pPr>
        <w:pStyle w:val="Normal"/>
        <w:spacing w:lineRule="auto" w:line="240" w:before="0" w:after="0"/>
        <w:jc w:val="both"/>
        <w:rPr>
          <w:rFonts w:ascii="Tahoma" w:hAnsi="Tahoma" w:eastAsia="Times New Roman" w:cs="Tahoma"/>
          <w:sz w:val="20"/>
          <w:szCs w:val="24"/>
          <w:lang w:val="sr-RS"/>
        </w:rPr>
      </w:pPr>
      <w:r>
        <w:rPr>
          <w:rFonts w:eastAsia="Times New Roman" w:cs="Tahoma" w:ascii="Tahoma" w:hAnsi="Tahoma"/>
          <w:sz w:val="20"/>
          <w:szCs w:val="24"/>
          <w:lang w:val="sr-RS"/>
        </w:rPr>
      </w:r>
    </w:p>
    <w:p>
      <w:pPr>
        <w:pStyle w:val="Normal"/>
        <w:spacing w:lineRule="auto" w:line="240" w:before="0" w:after="0"/>
        <w:jc w:val="both"/>
        <w:rPr>
          <w:rFonts w:ascii="Tahoma" w:hAnsi="Tahoma" w:eastAsia="Times New Roman" w:cs="Tahoma"/>
          <w:sz w:val="20"/>
          <w:szCs w:val="24"/>
          <w:lang w:val="ru-RU"/>
        </w:rPr>
      </w:pPr>
      <w:r>
        <w:rPr>
          <w:rFonts w:cs="Tahoma" w:ascii="Tahoma" w:hAnsi="Tahoma"/>
          <w:i/>
          <w:sz w:val="20"/>
          <w:szCs w:val="20"/>
          <w:lang w:val="sr-RS"/>
        </w:rPr>
        <w:t>Одлуком о општинској управи</w:t>
      </w:r>
      <w:r>
        <w:rPr>
          <w:rStyle w:val="FootnoteAnchor"/>
          <w:rFonts w:cs="Tahoma" w:ascii="Tahoma" w:hAnsi="Tahoma"/>
          <w:sz w:val="20"/>
          <w:lang w:val="sr-RS"/>
        </w:rPr>
        <w:footnoteReference w:id="89"/>
      </w:r>
      <w:r>
        <w:rPr>
          <w:rFonts w:cs="Tahoma" w:ascii="Tahoma" w:hAnsi="Tahoma"/>
          <w:sz w:val="20"/>
          <w:szCs w:val="20"/>
          <w:lang w:val="sr-RS"/>
        </w:rPr>
        <w:t xml:space="preserve"> </w:t>
      </w:r>
      <w:r>
        <w:rPr>
          <w:rFonts w:cs="Tahoma" w:ascii="Tahoma" w:hAnsi="Tahoma"/>
          <w:sz w:val="20"/>
          <w:lang w:val="sr-RS"/>
        </w:rPr>
        <w:t xml:space="preserve">уређена су питања организације, надлежности и начин рада Општинске управе, као и друга питања од значаја за њен рад. </w:t>
      </w:r>
      <w:r>
        <w:rPr>
          <w:rFonts w:eastAsia="Times New Roman" w:cs="Tahoma" w:ascii="Tahoma" w:hAnsi="Tahoma"/>
          <w:sz w:val="20"/>
          <w:szCs w:val="24"/>
          <w:lang w:val="ru-RU"/>
        </w:rPr>
        <w:t xml:space="preserve">У Општинској управи образована су следећа одељења: </w:t>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t>1. Одељење за имовинске, опште и заједничке послове;</w:t>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t>2. Одељење за инспекцијске послове, урбанизам и заштиту животне средине;</w:t>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t>3. Одељење за буџет и финансије;</w:t>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t>4. Одељење за привреду и локални економски развој.</w:t>
      </w:r>
    </w:p>
    <w:p>
      <w:pPr>
        <w:pStyle w:val="Normal"/>
        <w:spacing w:lineRule="auto" w:line="240" w:before="0" w:after="0"/>
        <w:jc w:val="both"/>
        <w:rPr>
          <w:rFonts w:ascii="Tahoma" w:hAnsi="Tahoma" w:eastAsia="Times New Roman" w:cs="Tahoma"/>
          <w:sz w:val="20"/>
          <w:szCs w:val="24"/>
          <w:lang w:val="ru-RU"/>
        </w:rPr>
      </w:pPr>
      <w:r>
        <w:rPr>
          <w:rFonts w:eastAsia="Times New Roman" w:cs="Tahoma" w:ascii="Tahoma" w:hAnsi="Tahoma"/>
          <w:sz w:val="20"/>
          <w:szCs w:val="24"/>
          <w:lang w:val="ru-RU"/>
        </w:rPr>
      </w:r>
    </w:p>
    <w:p>
      <w:pPr>
        <w:pStyle w:val="Normal"/>
        <w:spacing w:lineRule="auto" w:line="240" w:before="0" w:after="0"/>
        <w:jc w:val="both"/>
        <w:rPr>
          <w:rFonts w:ascii="Tahoma" w:hAnsi="Tahoma" w:cs="Tahoma"/>
          <w:sz w:val="20"/>
          <w:lang w:val="sr-RS"/>
        </w:rPr>
      </w:pPr>
      <w:r>
        <w:rPr>
          <w:rFonts w:cs="Tahoma" w:ascii="Tahoma" w:hAnsi="Tahoma"/>
          <w:i/>
          <w:sz w:val="20"/>
          <w:lang w:val="sr-RS"/>
        </w:rPr>
        <w:t>Правилник о организацији и систематизацији радних места у Општинској управи, Правобранилаштву и стручним службама општине Бечин</w:t>
      </w:r>
      <w:r>
        <w:rPr>
          <w:rStyle w:val="FootnoteAnchor"/>
          <w:rFonts w:cs="Tahoma" w:ascii="Tahoma" w:hAnsi="Tahoma"/>
          <w:sz w:val="20"/>
          <w:lang w:val="sr-RS"/>
        </w:rPr>
        <w:footnoteReference w:id="90"/>
      </w:r>
      <w:r>
        <w:rPr>
          <w:rFonts w:cs="Tahoma" w:ascii="Tahoma" w:hAnsi="Tahoma"/>
          <w:i/>
          <w:sz w:val="20"/>
          <w:lang w:val="sr-RS"/>
        </w:rPr>
        <w:t xml:space="preserve"> </w:t>
      </w:r>
      <w:r>
        <w:rPr>
          <w:rFonts w:cs="Tahoma" w:ascii="Tahoma" w:hAnsi="Tahoma"/>
          <w:sz w:val="20"/>
          <w:lang w:val="sr-RS"/>
        </w:rPr>
        <w:t>усвојен је од стране Општинског већа општине Беочин дана 01.09.2022. године. Правилник је једном измењен, дана 15.08.2023. године.  Радна места у чијем опису су и послови који се односе на социјалну заштиту систематизовани су у Одељењу за имовинске, опште и заједничке послове</w:t>
      </w:r>
      <w:r>
        <w:rPr>
          <w:rFonts w:cs="Tahoma" w:ascii="Tahoma" w:hAnsi="Tahoma"/>
          <w:b/>
          <w:sz w:val="20"/>
          <w:lang w:val="sr-RS"/>
        </w:rPr>
        <w:t xml:space="preserve"> </w:t>
      </w:r>
      <w:r>
        <w:rPr>
          <w:rFonts w:cs="Tahoma" w:ascii="Tahoma" w:hAnsi="Tahoma"/>
          <w:sz w:val="20"/>
          <w:lang w:val="sr-RS"/>
        </w:rPr>
        <w:t xml:space="preserve">Општинске управе, и то четири радна места, од којих су попуњена три: </w:t>
      </w:r>
    </w:p>
    <w:p>
      <w:pPr>
        <w:pStyle w:val="ListParagraph"/>
        <w:numPr>
          <w:ilvl w:val="0"/>
          <w:numId w:val="6"/>
        </w:numPr>
        <w:spacing w:lineRule="auto" w:line="240"/>
        <w:rPr>
          <w:rFonts w:ascii="Tahoma" w:hAnsi="Tahoma" w:cs="Tahoma"/>
          <w:iCs/>
          <w:sz w:val="20"/>
          <w:lang w:val="sr-RS"/>
        </w:rPr>
      </w:pPr>
      <w:r>
        <w:rPr>
          <w:rFonts w:cs="Tahoma" w:ascii="Tahoma" w:hAnsi="Tahoma"/>
          <w:iCs/>
          <w:sz w:val="20"/>
          <w:lang w:val="sr-RS"/>
        </w:rPr>
        <w:t>Послови друштвене бриге о деци, борачко инвалидска заштита и саветник за заштиту права пацијената (број радних места: 1, ангажовано извршилаца: 1)</w:t>
      </w:r>
    </w:p>
    <w:p>
      <w:pPr>
        <w:pStyle w:val="ListParagraph"/>
        <w:numPr>
          <w:ilvl w:val="0"/>
          <w:numId w:val="6"/>
        </w:numPr>
        <w:spacing w:lineRule="auto" w:line="240"/>
        <w:rPr>
          <w:rFonts w:ascii="Tahoma" w:hAnsi="Tahoma" w:cs="Tahoma"/>
          <w:iCs/>
          <w:sz w:val="20"/>
          <w:lang w:val="sr-RS"/>
        </w:rPr>
      </w:pPr>
      <w:r>
        <w:rPr>
          <w:rFonts w:cs="Tahoma" w:ascii="Tahoma" w:hAnsi="Tahoma"/>
          <w:iCs/>
          <w:sz w:val="20"/>
          <w:lang w:val="sr-RS"/>
        </w:rPr>
        <w:t>Послови у вези са избеглим, расељеним лицима и повратницима (број радних места: 1, ангажовано извршилаца: 1)</w:t>
      </w:r>
    </w:p>
    <w:p>
      <w:pPr>
        <w:pStyle w:val="ListParagraph"/>
        <w:numPr>
          <w:ilvl w:val="0"/>
          <w:numId w:val="6"/>
        </w:numPr>
        <w:spacing w:lineRule="auto" w:line="240"/>
        <w:rPr>
          <w:rFonts w:ascii="Tahoma" w:hAnsi="Tahoma" w:cs="Tahoma"/>
          <w:iCs/>
          <w:sz w:val="20"/>
          <w:lang w:val="sr-RS"/>
        </w:rPr>
      </w:pPr>
      <w:r>
        <w:rPr>
          <w:rFonts w:cs="Tahoma" w:ascii="Tahoma" w:hAnsi="Tahoma"/>
          <w:iCs/>
          <w:sz w:val="20"/>
          <w:lang w:val="sr-RS"/>
        </w:rPr>
        <w:t>Послови за исплату у области дечје и борачке заштите (број радних места: 1, ангажовано извршилаца: 1)</w:t>
      </w:r>
    </w:p>
    <w:p>
      <w:pPr>
        <w:pStyle w:val="ListParagraph"/>
        <w:numPr>
          <w:ilvl w:val="0"/>
          <w:numId w:val="6"/>
        </w:numPr>
        <w:spacing w:lineRule="auto" w:line="240"/>
        <w:rPr>
          <w:rFonts w:ascii="Tahoma" w:hAnsi="Tahoma" w:cs="Tahoma"/>
          <w:iCs/>
          <w:sz w:val="20"/>
          <w:lang w:val="sr-RS"/>
        </w:rPr>
      </w:pPr>
      <w:r>
        <w:rPr>
          <w:rFonts w:cs="Tahoma" w:ascii="Tahoma" w:hAnsi="Tahoma"/>
          <w:iCs/>
          <w:sz w:val="20"/>
          <w:lang w:val="sr-RS"/>
        </w:rPr>
        <w:t>Координатор за ромска питања (број радних места: 1, ангажовано извршилаца: 0)</w:t>
      </w:r>
    </w:p>
    <w:p>
      <w:pPr>
        <w:pStyle w:val="Normal"/>
        <w:spacing w:lineRule="auto" w:line="240"/>
        <w:jc w:val="both"/>
        <w:rPr>
          <w:rFonts w:ascii="Tahoma" w:hAnsi="Tahoma" w:cs="Tahoma"/>
          <w:iCs/>
          <w:sz w:val="20"/>
          <w:lang w:val="sr-RS"/>
        </w:rPr>
      </w:pPr>
      <w:r>
        <w:rPr>
          <w:rFonts w:cs="Tahoma" w:ascii="Tahoma" w:hAnsi="Tahoma"/>
          <w:iCs/>
          <w:sz w:val="20"/>
          <w:lang w:val="sr-RS"/>
        </w:rPr>
        <w:t>Иначе, у овом одељењу нису попуњена четири радна места у односу на 25 систематизованих, а за ову анализу релевантна је позиција координатора за  ромска питања која није попуњена, а који је значајан механизам за социјално укључивање и подршку једној од најосетљивијих група становништва.</w:t>
      </w:r>
    </w:p>
    <w:p>
      <w:pPr>
        <w:pStyle w:val="Normal"/>
        <w:spacing w:lineRule="auto" w:line="240" w:before="0" w:after="0"/>
        <w:jc w:val="both"/>
        <w:rPr>
          <w:rFonts w:ascii="Tahoma" w:hAnsi="Tahoma" w:cs="Tahoma"/>
          <w:sz w:val="20"/>
          <w:lang w:val="sr-RS"/>
        </w:rPr>
      </w:pPr>
      <w:r>
        <w:rPr>
          <w:rFonts w:cs="Tahoma" w:ascii="Tahoma" w:hAnsi="Tahoma"/>
          <w:sz w:val="20"/>
          <w:lang w:val="sr-RS"/>
        </w:rPr>
        <w:t>Одељење за имовинске, опште и заједничке послове, између осталог, обавља и послове бесплатне правна помоћ, односно пружа бесплатну правну помоћ грађанима у складу са законом којим се уређује пружање бесплатне правне помоћи и одлуком Скупштине општине којом се уређује пружање бесплатне правне помоћи</w:t>
      </w:r>
      <w:r>
        <w:rPr>
          <w:rFonts w:cs="DejaVu Sans" w:ascii="DejaVu Sans" w:hAnsi="DejaVu Sans" w:asciiTheme="majorBidi" w:cstheme="majorBidi" w:hAnsiTheme="majorBidi"/>
          <w:szCs w:val="24"/>
          <w:lang w:val="ru-RU"/>
        </w:rPr>
        <w:t xml:space="preserve"> </w:t>
      </w:r>
      <w:r>
        <w:rPr>
          <w:rFonts w:cs="Tahoma" w:ascii="Tahoma" w:hAnsi="Tahoma"/>
          <w:sz w:val="20"/>
          <w:lang w:val="ru-RU"/>
        </w:rPr>
        <w:t>грађанима.</w:t>
      </w:r>
      <w:r>
        <w:rPr>
          <w:rFonts w:cs="DejaVu Sans" w:ascii="DejaVu Sans" w:hAnsi="DejaVu Sans" w:asciiTheme="majorBidi" w:cstheme="majorBidi" w:hAnsiTheme="majorBidi"/>
          <w:szCs w:val="24"/>
          <w:lang w:val="ru-RU"/>
        </w:rPr>
        <w:t xml:space="preserve"> </w:t>
      </w:r>
      <w:r>
        <w:rPr>
          <w:rFonts w:cs="Tahoma" w:ascii="Tahoma" w:hAnsi="Tahoma"/>
          <w:sz w:val="20"/>
          <w:lang w:val="sr-RS"/>
        </w:rPr>
        <w:t>У оквиру овог одељења постоји</w:t>
      </w:r>
      <w:r>
        <w:rPr>
          <w:rFonts w:cs="Tahoma" w:ascii="Tahoma" w:hAnsi="Tahoma"/>
          <w:i/>
          <w:sz w:val="20"/>
          <w:lang w:val="sr-RS"/>
        </w:rPr>
        <w:t xml:space="preserve"> </w:t>
      </w:r>
      <w:r>
        <w:rPr>
          <w:rFonts w:cs="Tahoma" w:ascii="Tahoma" w:hAnsi="Tahoma"/>
          <w:i/>
          <w:sz w:val="20"/>
          <w:lang w:val="sr-Latn-RS"/>
        </w:rPr>
        <w:t xml:space="preserve"> </w:t>
      </w:r>
      <w:r>
        <w:rPr>
          <w:rFonts w:cs="Tahoma" w:ascii="Tahoma" w:hAnsi="Tahoma"/>
          <w:i/>
          <w:sz w:val="20"/>
          <w:lang w:val="sr-RS"/>
        </w:rPr>
        <w:t xml:space="preserve">Општински услужни центар </w:t>
      </w:r>
      <w:r>
        <w:rPr>
          <w:rFonts w:cs="Tahoma" w:ascii="Tahoma" w:hAnsi="Tahoma"/>
          <w:sz w:val="20"/>
          <w:lang w:val="sr-RS"/>
        </w:rPr>
        <w:t xml:space="preserve">који обавља широк спектар послова који се тичу матичних књига, личних стања грађана, бирачког списка, исплате накнада за време породиљског одсуства, неге детета и посебне неге детета, као и исплате из области борачко-инвалидске заштите. Такође, обавља административне и стручне послове у вези са личним стањима грађана, друштвеном бригом о деци, борачко-инвалидском заштитом, социјалном и здравственом заштитом, издаје уверења, учествује у изради стратегија и програма развоја у наведеним областима, прати рад и функционишање институција у области образовања, здравства, социјалне заштите, културе, спорта и информисања те врши друге задатке по потреби општине. Месне канцеларије унутар одељења обављају сличне послове у насељеним местима. </w:t>
      </w:r>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spacing w:lineRule="auto" w:line="240" w:before="0" w:after="0"/>
        <w:jc w:val="both"/>
        <w:rPr>
          <w:rFonts w:ascii="Tahoma" w:hAnsi="Tahoma" w:cs="Tahoma"/>
          <w:sz w:val="20"/>
          <w:szCs w:val="24"/>
          <w:lang w:val="ru-RU"/>
        </w:rPr>
      </w:pPr>
      <w:r>
        <w:rPr>
          <w:rFonts w:cs="Tahoma" w:ascii="Tahoma" w:hAnsi="Tahoma"/>
          <w:sz w:val="20"/>
          <w:szCs w:val="24"/>
          <w:lang w:val="ru-RU"/>
        </w:rPr>
        <w:t>У оквиру Одељења за имовинске,опште и заједничке послове образоване се месне канцеларије у насељеним местима: Раковац, Черевић, Баноштор, Свилош, Грабово, Сусек и Луг.</w:t>
      </w:r>
    </w:p>
    <w:p>
      <w:pPr>
        <w:pStyle w:val="Normal"/>
        <w:spacing w:lineRule="auto" w:line="240" w:before="0" w:after="0"/>
        <w:jc w:val="both"/>
        <w:rPr>
          <w:rFonts w:ascii="Tahoma" w:hAnsi="Tahoma" w:cs="Tahoma"/>
          <w:i/>
          <w:i/>
          <w:sz w:val="20"/>
          <w:lang w:val="ru-RU"/>
        </w:rPr>
      </w:pPr>
      <w:r>
        <w:rPr>
          <w:rFonts w:cs="Tahoma" w:ascii="Tahoma" w:hAnsi="Tahoma"/>
          <w:i/>
          <w:sz w:val="20"/>
          <w:lang w:val="ru-RU"/>
        </w:rPr>
      </w:r>
    </w:p>
    <w:p>
      <w:pPr>
        <w:pStyle w:val="Normal"/>
        <w:spacing w:lineRule="auto" w:line="240" w:before="0" w:after="0"/>
        <w:jc w:val="both"/>
        <w:rPr>
          <w:rFonts w:ascii="Tahoma" w:hAnsi="Tahoma" w:cs="Tahoma"/>
          <w:sz w:val="20"/>
          <w:lang w:val="sr-RS"/>
        </w:rPr>
      </w:pPr>
      <w:r>
        <w:rPr>
          <w:rFonts w:cs="Tahoma" w:ascii="Tahoma" w:hAnsi="Tahoma"/>
          <w:sz w:val="20"/>
          <w:lang w:val="sr-RS"/>
        </w:rPr>
        <w:t>Одељење за привреду и локални економски развој се бави реализацијом развојних пројеката од интереса за општину, представљањем инвестиционих потенцијала општине и привлачењем инвестиција, уз активности у вези са економским развојем. Нема експлицитних назнака о директним задужењима или активностима везаним за социјалну заштиту.</w:t>
      </w:r>
    </w:p>
    <w:p>
      <w:pPr>
        <w:pStyle w:val="Normal"/>
        <w:spacing w:lineRule="auto" w:line="240" w:before="0" w:after="0"/>
        <w:jc w:val="both"/>
        <w:rPr>
          <w:rFonts w:ascii="Tahoma" w:hAnsi="Tahoma" w:cs="Tahoma"/>
          <w:sz w:val="20"/>
          <w:lang w:val="sr-RS"/>
        </w:rPr>
      </w:pPr>
      <w:r>
        <w:rPr>
          <w:rFonts w:cs="Tahoma" w:ascii="Tahoma" w:hAnsi="Tahoma"/>
          <w:sz w:val="20"/>
          <w:lang w:val="sr-RS"/>
        </w:rPr>
      </w:r>
    </w:p>
    <w:p>
      <w:pPr>
        <w:pStyle w:val="Normal"/>
        <w:rPr>
          <w:rFonts w:ascii="Tahoma" w:hAnsi="Tahoma"/>
          <w:sz w:val="20"/>
          <w:szCs w:val="20"/>
        </w:rPr>
      </w:pPr>
      <w:r>
        <w:rPr>
          <w:rFonts w:cs="Tahoma" w:ascii="Tahoma" w:hAnsi="Tahoma"/>
          <w:sz w:val="20"/>
          <w:szCs w:val="20"/>
          <w:lang w:val="sr-RS"/>
        </w:rPr>
        <w:t>У општини Беочин постоји Мобилни тим за инклузију Рома и тим је активан, а именован је решењем Општинског већа. Оно што је занимљиво јесте чињеница да је састав овог тима укључио и представнике ЈЛС са вишег нивоа одлучивања (нпр чланове Општинског већа) као и представника локалног удружења Рома и Центра за социјални рад, што указује да општина Беочин питањима социјалног укључивања Рома даје значајно место,</w:t>
      </w:r>
      <w:r>
        <w:rPr>
          <w:rFonts w:ascii="Tahoma" w:hAnsi="Tahoma"/>
          <w:sz w:val="20"/>
          <w:szCs w:val="20"/>
          <w:lang w:val="sr-RS"/>
        </w:rPr>
        <w:t xml:space="preserve"> а од Локалних акционих планова за социјално укључивање Рома,</w:t>
      </w:r>
      <w:r>
        <w:rPr>
          <w:rFonts w:ascii="Tahoma" w:hAnsi="Tahoma"/>
          <w:sz w:val="20"/>
          <w:szCs w:val="20"/>
          <w:lang w:val="sr-Latn-RS"/>
        </w:rPr>
        <w:t xml:space="preserve"> </w:t>
      </w:r>
      <w:r>
        <w:rPr>
          <w:rFonts w:ascii="Tahoma" w:hAnsi="Tahoma"/>
          <w:sz w:val="20"/>
          <w:szCs w:val="20"/>
          <w:lang w:val="sr-RS"/>
        </w:rPr>
        <w:t>од стране Скупштине општине Беочин је дана 27.3.2025. године донет Локални акциони план за социјално укључивање Рома и Ромкиња у области становања у  општини Беочин  за период од 202</w:t>
      </w:r>
      <w:r>
        <w:rPr>
          <w:rFonts w:ascii="Tahoma" w:hAnsi="Tahoma"/>
          <w:sz w:val="20"/>
          <w:szCs w:val="20"/>
          <w:lang w:val="en-US"/>
        </w:rPr>
        <w:t>5</w:t>
      </w:r>
      <w:r>
        <w:rPr>
          <w:rFonts w:ascii="Tahoma" w:hAnsi="Tahoma"/>
          <w:sz w:val="20"/>
          <w:szCs w:val="20"/>
          <w:lang w:val="sr-RS"/>
        </w:rPr>
        <w:t>. до 202</w:t>
      </w:r>
      <w:r>
        <w:rPr>
          <w:rFonts w:ascii="Tahoma" w:hAnsi="Tahoma"/>
          <w:sz w:val="20"/>
          <w:szCs w:val="20"/>
          <w:lang w:val="en-US"/>
        </w:rPr>
        <w:t>7</w:t>
      </w:r>
      <w:r>
        <w:rPr>
          <w:rFonts w:ascii="Tahoma" w:hAnsi="Tahoma"/>
          <w:sz w:val="20"/>
          <w:szCs w:val="20"/>
          <w:lang w:val="sr-RS"/>
        </w:rPr>
        <w:t xml:space="preserve">. године. Стратегија запошљавања припадника ромске заједнице за период 2014-2020 је истекла. </w:t>
      </w:r>
    </w:p>
    <w:p>
      <w:pPr>
        <w:pStyle w:val="Normal"/>
        <w:spacing w:lineRule="auto" w:line="240" w:before="240" w:after="0"/>
        <w:jc w:val="both"/>
        <w:rPr>
          <w:rFonts w:ascii="Tahoma" w:hAnsi="Tahoma" w:cs="Tahoma"/>
          <w:sz w:val="20"/>
          <w:szCs w:val="24"/>
          <w:lang w:val="ru-RU"/>
        </w:rPr>
      </w:pPr>
      <w:r>
        <w:rPr>
          <w:rFonts w:cs="Tahoma" w:ascii="Tahoma" w:hAnsi="Tahoma"/>
          <w:sz w:val="20"/>
          <w:lang w:val="sr-RS"/>
        </w:rPr>
        <w:t>Канцеларија за младе се финансира пројектно у сарадњи са Покрајинским секретаријатом за спорт и омладину, активна је 6-8 месеци на годишњем нивоу. Општина није још добила сагласност за запошљавање координатора КЗМ и зато је још увек на пројектној основи, а општина финансира текуће трошкове, активности а Секретаријат финансира плату координатора.</w:t>
      </w:r>
      <w:r>
        <w:rPr>
          <w:rFonts w:cs="Tahoma" w:ascii="Tahoma" w:hAnsi="Tahoma"/>
          <w:sz w:val="20"/>
          <w:szCs w:val="24"/>
          <w:lang w:val="ru-RU"/>
        </w:rPr>
        <w:t xml:space="preserve"> </w:t>
      </w:r>
    </w:p>
    <w:p>
      <w:pPr>
        <w:pStyle w:val="Normal"/>
        <w:spacing w:lineRule="auto" w:line="240" w:before="0" w:after="0"/>
        <w:jc w:val="both"/>
        <w:rPr>
          <w:rFonts w:ascii="Tahoma" w:hAnsi="Tahoma" w:cs="Tahoma"/>
          <w:color w:val="FF0000"/>
          <w:sz w:val="20"/>
          <w:lang w:val="sr-RS"/>
        </w:rPr>
      </w:pPr>
      <w:r>
        <w:rPr>
          <w:rFonts w:cs="Tahoma" w:ascii="Tahoma" w:hAnsi="Tahoma"/>
          <w:color w:val="FF0000"/>
          <w:sz w:val="20"/>
          <w:lang w:val="sr-RS"/>
        </w:rPr>
      </w:r>
    </w:p>
    <w:p>
      <w:pPr>
        <w:pStyle w:val="Normal"/>
        <w:spacing w:lineRule="auto" w:line="240" w:before="0" w:after="0"/>
        <w:jc w:val="both"/>
        <w:rPr>
          <w:rFonts w:ascii="Tahoma" w:hAnsi="Tahoma" w:cs="Tahoma"/>
          <w:sz w:val="20"/>
          <w:lang w:val="sr-RS"/>
        </w:rPr>
      </w:pPr>
      <w:r>
        <w:rPr>
          <w:rFonts w:cs="Tahoma" w:ascii="Tahoma" w:hAnsi="Tahoma"/>
          <w:sz w:val="20"/>
          <w:lang w:val="sr-RS"/>
        </w:rPr>
        <w:t xml:space="preserve">Анализом стања у општини Беочин када су у питању институционални капацитети, констатовано је следеће: имајући у виду величину општине Беочин и број запослених у Општинској управи, логично је што није образована основна организациона јединица за друштвене делатности, у оквиру које би се обављали и послови социјалне заштите. Ипак, требало би размотрити могућност образовања уже организационе јединице за друштвене делатности у оквиру Одељења за имовинске, опште и заједничке послове, јер би то омогућило бољу координацију послова  социјалне заштите и квалитетнију комуникацију са осталим субјектима у социјалној области на територији општине Беочин. </w:t>
      </w:r>
    </w:p>
    <w:p>
      <w:pPr>
        <w:pStyle w:val="Normal"/>
        <w:spacing w:lineRule="auto" w:line="240" w:before="0" w:after="0"/>
        <w:jc w:val="both"/>
        <w:rPr>
          <w:rFonts w:ascii="Times New Roman" w:hAnsi="Times New Roman"/>
          <w:szCs w:val="24"/>
          <w:lang w:val="sr-RS"/>
        </w:rPr>
      </w:pPr>
      <w:r>
        <w:rPr>
          <w:rFonts w:ascii="Times New Roman" w:hAnsi="Times New Roman"/>
          <w:szCs w:val="24"/>
          <w:lang w:val="sr-RS"/>
        </w:rPr>
      </w:r>
    </w:p>
    <w:p>
      <w:pPr>
        <w:pStyle w:val="Normal"/>
        <w:spacing w:lineRule="auto" w:line="240" w:before="0" w:after="0"/>
        <w:jc w:val="both"/>
        <w:rPr>
          <w:rFonts w:ascii="Tahoma" w:hAnsi="Tahoma" w:cs="Tahoma"/>
          <w:bCs/>
          <w:sz w:val="20"/>
          <w:lang w:val="sr-CS"/>
        </w:rPr>
      </w:pPr>
      <w:r>
        <w:rPr>
          <w:rFonts w:cs="Tahoma" w:ascii="Tahoma" w:hAnsi="Tahoma"/>
          <w:iCs/>
          <w:sz w:val="20"/>
          <w:lang w:val="sr-RS"/>
        </w:rPr>
        <w:t xml:space="preserve">Општина Беочин има врло специфичну ситуацију у погледу пружања социјалне и породично-правне заштите грађанима на својој територији, јер </w:t>
      </w:r>
      <w:r>
        <w:rPr>
          <w:rFonts w:cs="Tahoma" w:ascii="Tahoma" w:hAnsi="Tahoma"/>
          <w:b/>
          <w:iCs/>
          <w:sz w:val="20"/>
          <w:lang w:val="sr-RS"/>
        </w:rPr>
        <w:t>нема сопствени Центар за социјални рад (ЦСР),</w:t>
      </w:r>
      <w:r>
        <w:rPr>
          <w:rFonts w:cs="Tahoma" w:ascii="Tahoma" w:hAnsi="Tahoma"/>
          <w:iCs/>
          <w:sz w:val="20"/>
          <w:lang w:val="sr-RS"/>
        </w:rPr>
        <w:t xml:space="preserve"> већ ту делатност на њеној територији врши ЦСР Града Новог Сада. Због малог броја становника и територијалне блискости ове две локалне самоуправе, надлежно Министарство је још 1992. године формирало Одељење ЦСР Града Новог Сада у Беочину које и дан данас обавља ову делатност у складу са републичким прописима и актима Општине Беочин. Одељење ЦСР у Беочину има свега 6 запослених и врло скромне капацитете, поготово ако се има у виду да је у 2022. год. било укупно 1.706 корисника социјалне и породично-правне заштите (11,3% становника Беочина) и да је спроведено око 4.000 поступака за оствривање права, мера и услуга у области социјалне заштите. </w:t>
      </w:r>
      <w:r>
        <w:rPr>
          <w:rFonts w:cs="Tahoma" w:ascii="Tahoma" w:hAnsi="Tahoma"/>
          <w:bCs/>
          <w:sz w:val="20"/>
          <w:lang w:val="sr-CS"/>
        </w:rPr>
        <w:t xml:space="preserve">У погледу мреже установа социјалне заштите на овом подручју доминира Град Нови Сад на чије ресурсе се општина Беочин већ дуги низ година ослања, и то су пре свега:  </w:t>
      </w:r>
    </w:p>
    <w:p>
      <w:pPr>
        <w:pStyle w:val="NormalWeb"/>
        <w:numPr>
          <w:ilvl w:val="0"/>
          <w:numId w:val="5"/>
        </w:numPr>
        <w:spacing w:beforeAutospacing="0" w:before="10" w:afterAutospacing="0" w:after="0"/>
        <w:jc w:val="both"/>
        <w:rPr>
          <w:rFonts w:ascii="Tahoma" w:hAnsi="Tahoma" w:cs="Tahoma"/>
          <w:sz w:val="20"/>
          <w:szCs w:val="22"/>
          <w:lang w:val="sr-CS"/>
        </w:rPr>
      </w:pPr>
      <w:r>
        <w:rPr>
          <w:rFonts w:cs="Tahoma" w:ascii="Tahoma" w:hAnsi="Tahoma"/>
          <w:sz w:val="20"/>
          <w:szCs w:val="22"/>
          <w:lang w:val="sr-CS"/>
        </w:rPr>
        <w:t>Центар за социјални рад Града Новог Сада са Прихватилиштем за децу "Сигурна дечија кућа", Дневним боравком за децу и младе из породица у ризику, привременим становањем деце и омладине без родитељског старања у становима којима располаже Град</w:t>
      </w:r>
      <w:r>
        <w:rPr>
          <w:rFonts w:cs="Tahoma" w:ascii="Tahoma" w:hAnsi="Tahoma"/>
          <w:sz w:val="20"/>
          <w:szCs w:val="22"/>
          <w:lang w:val="sr-Latn-CS"/>
        </w:rPr>
        <w:t xml:space="preserve">, са два објекта за социјално становање у заштићеним условима, </w:t>
      </w:r>
      <w:r>
        <w:rPr>
          <w:rFonts w:cs="Tahoma" w:ascii="Tahoma" w:hAnsi="Tahoma"/>
          <w:sz w:val="20"/>
          <w:szCs w:val="22"/>
          <w:lang w:val="sr-CS"/>
        </w:rPr>
        <w:t>Службом саветовалишта за брак и породицу и Прихватилиштем за жене и децу угрожене породичним насиљем „Сигурна женска кућа“;</w:t>
      </w:r>
    </w:p>
    <w:p>
      <w:pPr>
        <w:pStyle w:val="NormalWeb"/>
        <w:numPr>
          <w:ilvl w:val="0"/>
          <w:numId w:val="5"/>
        </w:numPr>
        <w:tabs>
          <w:tab w:val="clear" w:pos="720"/>
          <w:tab w:val="left" w:pos="426" w:leader="none"/>
        </w:tabs>
        <w:spacing w:beforeAutospacing="0" w:before="0" w:afterAutospacing="0" w:after="0"/>
        <w:jc w:val="both"/>
        <w:rPr>
          <w:rFonts w:ascii="Tahoma" w:hAnsi="Tahoma" w:cs="Tahoma"/>
          <w:sz w:val="20"/>
          <w:szCs w:val="22"/>
          <w:lang w:val="sr-Latn-CS"/>
        </w:rPr>
      </w:pPr>
      <w:r>
        <w:rPr>
          <w:rFonts w:cs="Tahoma" w:ascii="Tahoma" w:hAnsi="Tahoma"/>
          <w:sz w:val="20"/>
          <w:szCs w:val="22"/>
          <w:lang w:val="sr-Latn-CS"/>
        </w:rPr>
        <w:t>Геронтолошки центар „Нови Сад“, са три дома (Ново насеље, Лиман и Футог),  РЈ Прихватилиште са свратиштем, РЈ клубова за стара и одрасла лица (19 клубова), РЈ помоћ у кући и нега и РЈ Дневни боравак за одрасла и старија лица</w:t>
      </w:r>
    </w:p>
    <w:p>
      <w:pPr>
        <w:pStyle w:val="NormalWeb"/>
        <w:numPr>
          <w:ilvl w:val="0"/>
          <w:numId w:val="5"/>
        </w:numPr>
        <w:tabs>
          <w:tab w:val="clear" w:pos="720"/>
          <w:tab w:val="left" w:pos="426" w:leader="none"/>
        </w:tabs>
        <w:spacing w:beforeAutospacing="0" w:before="0" w:afterAutospacing="0" w:after="0"/>
        <w:jc w:val="both"/>
        <w:rPr>
          <w:rFonts w:ascii="Tahoma" w:hAnsi="Tahoma" w:cs="Tahoma"/>
          <w:sz w:val="20"/>
          <w:szCs w:val="22"/>
          <w:lang w:val="sr-Latn-CS"/>
        </w:rPr>
      </w:pPr>
      <w:r>
        <w:rPr>
          <w:rFonts w:cs="Tahoma" w:ascii="Tahoma" w:hAnsi="Tahoma"/>
          <w:sz w:val="20"/>
          <w:szCs w:val="22"/>
          <w:lang w:val="sr-Latn-CS"/>
        </w:rPr>
        <w:t>СОС Дечје село "Др Милорад Павловић", Сремска Каменица;</w:t>
      </w:r>
    </w:p>
    <w:p>
      <w:pPr>
        <w:pStyle w:val="NormalWeb"/>
        <w:numPr>
          <w:ilvl w:val="0"/>
          <w:numId w:val="5"/>
        </w:numPr>
        <w:tabs>
          <w:tab w:val="clear" w:pos="720"/>
          <w:tab w:val="left" w:pos="426" w:leader="none"/>
        </w:tabs>
        <w:spacing w:beforeAutospacing="0" w:before="0" w:afterAutospacing="0" w:after="0"/>
        <w:jc w:val="both"/>
        <w:rPr>
          <w:rFonts w:ascii="Tahoma" w:hAnsi="Tahoma" w:cs="Tahoma"/>
          <w:sz w:val="20"/>
          <w:szCs w:val="22"/>
          <w:lang w:val="sr-Latn-CS"/>
        </w:rPr>
      </w:pPr>
      <w:r>
        <w:rPr>
          <w:rFonts w:cs="Tahoma" w:ascii="Tahoma" w:hAnsi="Tahoma"/>
          <w:sz w:val="20"/>
          <w:szCs w:val="22"/>
          <w:lang w:val="sr-Latn-CS"/>
        </w:rPr>
        <w:t xml:space="preserve">Дом Ветерник са Дневним боравком; </w:t>
      </w:r>
    </w:p>
    <w:p>
      <w:pPr>
        <w:pStyle w:val="NormalWeb"/>
        <w:numPr>
          <w:ilvl w:val="0"/>
          <w:numId w:val="5"/>
        </w:numPr>
        <w:tabs>
          <w:tab w:val="clear" w:pos="720"/>
          <w:tab w:val="left" w:pos="426" w:leader="none"/>
        </w:tabs>
        <w:spacing w:beforeAutospacing="0" w:before="0" w:afterAutospacing="0" w:after="0"/>
        <w:jc w:val="both"/>
        <w:rPr>
          <w:rFonts w:ascii="Tahoma" w:hAnsi="Tahoma" w:cs="Tahoma"/>
          <w:sz w:val="20"/>
          <w:szCs w:val="22"/>
          <w:lang w:val="sr-Latn-CS"/>
        </w:rPr>
      </w:pPr>
      <w:r>
        <w:rPr>
          <w:rFonts w:cs="Tahoma" w:ascii="Tahoma" w:hAnsi="Tahoma"/>
          <w:sz w:val="20"/>
          <w:szCs w:val="22"/>
          <w:lang w:val="sr-Latn-CS"/>
        </w:rPr>
        <w:t xml:space="preserve">Школа за основно и средње образовање „Милан Петровић“, Нови Сад, са предшколским, основношколским и средњошколским програмом, Дневним боравком, Радним центром, Сервисним центром, Едукативним кампом и Услужним центром. </w:t>
      </w:r>
    </w:p>
    <w:p>
      <w:pPr>
        <w:pStyle w:val="Normal"/>
        <w:spacing w:lineRule="auto" w:line="240" w:before="0" w:after="0"/>
        <w:rPr>
          <w:rFonts w:ascii="Tahoma" w:hAnsi="Tahoma" w:cs="Tahoma"/>
          <w:b/>
          <w:b/>
          <w:bCs/>
          <w:sz w:val="20"/>
          <w:lang w:val="sr-CS"/>
        </w:rPr>
      </w:pPr>
      <w:r>
        <w:rPr>
          <w:rFonts w:cs="Tahoma" w:ascii="Tahoma" w:hAnsi="Tahoma"/>
          <w:b/>
          <w:bCs/>
          <w:sz w:val="20"/>
          <w:lang w:val="sr-CS"/>
        </w:rPr>
      </w:r>
    </w:p>
    <w:p>
      <w:pPr>
        <w:pStyle w:val="Normal"/>
        <w:jc w:val="both"/>
        <w:rPr>
          <w:rFonts w:ascii="Tahoma" w:hAnsi="Tahoma" w:cs="Tahoma"/>
          <w:sz w:val="20"/>
          <w:szCs w:val="20"/>
          <w:lang w:val="sr-RS"/>
        </w:rPr>
      </w:pPr>
      <w:r>
        <w:rPr>
          <w:rFonts w:cs="Tahoma" w:ascii="Tahoma" w:hAnsi="Tahoma"/>
          <w:sz w:val="20"/>
          <w:szCs w:val="20"/>
          <w:lang w:val="sr-RS"/>
        </w:rPr>
        <w:t>На територији општине Беочин нема лиценцираних пружалаца локалних услуга социјалне заштите. У наредном тексту приказани су капацитети Центра за социјални рад Града Новог Сада односно одељења у Беочину.</w:t>
      </w:r>
    </w:p>
    <w:p>
      <w:pPr>
        <w:pStyle w:val="Normal"/>
        <w:jc w:val="both"/>
        <w:rPr>
          <w:rFonts w:ascii="Tahoma" w:hAnsi="Tahoma" w:cs="Tahoma"/>
          <w:sz w:val="20"/>
          <w:szCs w:val="18"/>
          <w:lang w:val="sr-CS"/>
        </w:rPr>
      </w:pPr>
      <w:r>
        <w:rPr>
          <w:rFonts w:cs="Tahoma" w:ascii="Tahoma" w:hAnsi="Tahoma"/>
          <w:b/>
          <w:sz w:val="20"/>
          <w:szCs w:val="18"/>
          <w:lang w:val="sr-CS"/>
        </w:rPr>
        <w:t>Центар за социјални рад</w:t>
      </w:r>
      <w:r>
        <w:rPr>
          <w:rFonts w:cs="Tahoma" w:ascii="Tahoma" w:hAnsi="Tahoma"/>
          <w:sz w:val="20"/>
          <w:szCs w:val="18"/>
          <w:lang w:val="sr-CS"/>
        </w:rPr>
        <w:t xml:space="preserve"> обавља делатност која је, у основи, одређена Законом о социјалној заштити, Породичним законом, Законом о спречавању насиља у породици, Законом о малолетним учиниоцима кривичних дела и кривчноправној заштити малолетних лица, </w:t>
      </w:r>
      <w:r>
        <w:rPr>
          <w:rFonts w:cs="Tahoma" w:ascii="Tahoma" w:hAnsi="Tahoma"/>
          <w:sz w:val="20"/>
          <w:szCs w:val="18"/>
          <w:lang w:val="sr-Latn-CS"/>
        </w:rPr>
        <w:t xml:space="preserve">Одлуком о социјалној заштити Града Новог Сада, Одлуком о социјалној заштити општине Беочин и Одлуком о социјалној заштити општине Сремски Карловци, </w:t>
      </w:r>
      <w:r>
        <w:rPr>
          <w:rFonts w:cs="Tahoma" w:ascii="Tahoma" w:hAnsi="Tahoma"/>
          <w:sz w:val="20"/>
          <w:szCs w:val="18"/>
          <w:lang w:val="sr-CS"/>
        </w:rPr>
        <w:t>Законом о финансијској подршци породици са децом</w:t>
      </w:r>
      <w:r>
        <w:rPr>
          <w:rFonts w:cs="Tahoma" w:ascii="Tahoma" w:hAnsi="Tahoma"/>
          <w:sz w:val="20"/>
          <w:szCs w:val="18"/>
          <w:lang w:val="sr-Latn-CS"/>
        </w:rPr>
        <w:t xml:space="preserve">, </w:t>
      </w:r>
      <w:r>
        <w:rPr>
          <w:rFonts w:cs="Tahoma" w:ascii="Tahoma" w:hAnsi="Tahoma"/>
          <w:sz w:val="20"/>
          <w:szCs w:val="18"/>
          <w:lang w:val="sr-CS"/>
        </w:rPr>
        <w:t xml:space="preserve">Законом о општем управном поступку, </w:t>
      </w:r>
      <w:r>
        <w:rPr>
          <w:rFonts w:cs="Tahoma" w:ascii="Tahoma" w:hAnsi="Tahoma"/>
          <w:sz w:val="20"/>
          <w:szCs w:val="18"/>
          <w:lang w:val="sr-Latn-CS"/>
        </w:rPr>
        <w:t xml:space="preserve">Кривичним закоником Републике Србије, Конвенцијом о правима детета;  </w:t>
      </w:r>
      <w:r>
        <w:rPr>
          <w:rFonts w:cs="Tahoma" w:ascii="Tahoma" w:hAnsi="Tahoma"/>
          <w:sz w:val="20"/>
          <w:szCs w:val="18"/>
          <w:lang w:val="sr-CS"/>
        </w:rPr>
        <w:t xml:space="preserve">другим законима </w:t>
      </w:r>
      <w:r>
        <w:rPr>
          <w:rFonts w:cs="Tahoma" w:ascii="Tahoma" w:hAnsi="Tahoma"/>
          <w:sz w:val="20"/>
          <w:szCs w:val="18"/>
          <w:lang w:val="sr-Latn-CS"/>
        </w:rPr>
        <w:t>и низом подзаконских аката</w:t>
      </w:r>
      <w:r>
        <w:rPr>
          <w:rFonts w:cs="Tahoma" w:ascii="Tahoma" w:hAnsi="Tahoma"/>
          <w:sz w:val="20"/>
          <w:szCs w:val="18"/>
          <w:lang w:val="sr-CS"/>
        </w:rPr>
        <w:t xml:space="preserve">. </w:t>
      </w:r>
      <w:r>
        <w:rPr>
          <w:rFonts w:cs="Tahoma" w:ascii="Tahoma" w:hAnsi="Tahoma"/>
          <w:sz w:val="20"/>
          <w:szCs w:val="18"/>
          <w:lang w:val="ru-RU"/>
        </w:rPr>
        <w:t xml:space="preserve">У </w:t>
      </w:r>
      <w:r>
        <w:rPr>
          <w:rFonts w:cs="Tahoma" w:ascii="Tahoma" w:hAnsi="Tahoma"/>
          <w:sz w:val="20"/>
          <w:szCs w:val="18"/>
          <w:lang w:val="sr-CS"/>
        </w:rPr>
        <w:t>вршењу јавних овлашћења Центар, у складу са Законом о социјалној заштити</w:t>
      </w:r>
      <w:r>
        <w:rPr>
          <w:rFonts w:cs="Tahoma" w:ascii="Tahoma" w:hAnsi="Tahoma"/>
          <w:sz w:val="20"/>
          <w:szCs w:val="18"/>
          <w:lang w:val="sr-Latn-CS"/>
        </w:rPr>
        <w:t>,</w:t>
      </w:r>
      <w:r>
        <w:rPr>
          <w:rFonts w:cs="Tahoma" w:ascii="Tahoma" w:hAnsi="Tahoma"/>
          <w:sz w:val="20"/>
          <w:szCs w:val="18"/>
          <w:lang w:val="sr-CS"/>
        </w:rPr>
        <w:t xml:space="preserve"> обавља следећу делатност: процењује потребе и снаге корисника и ризике по њега и планира пружање услуга социјалне заштите; спроводи поступке и одлучује о правима на материјална давања и о коришћењу услуга социјалне заштите; предузима прописане мере, покреће и учествује у судским и другим поступцима; води прописане евиденције и стара се о чувању документације корисника.</w:t>
      </w:r>
    </w:p>
    <w:p>
      <w:pPr>
        <w:pStyle w:val="Normal"/>
        <w:jc w:val="both"/>
        <w:rPr>
          <w:rFonts w:ascii="Tahoma" w:hAnsi="Tahoma" w:cs="Tahoma"/>
          <w:sz w:val="20"/>
          <w:szCs w:val="18"/>
          <w:lang w:val="ru-RU"/>
        </w:rPr>
      </w:pPr>
      <w:r>
        <w:rPr>
          <w:rFonts w:cs="Tahoma" w:ascii="Tahoma" w:hAnsi="Tahoma"/>
          <w:sz w:val="20"/>
          <w:szCs w:val="18"/>
          <w:lang w:val="sr-CS"/>
        </w:rPr>
        <w:t>Послови који се односе на права, односно услуге социјалне заштите о чијем се обезбеђивању стара Република Србија обављају се као поверени, а послове који се односе на права, односно услуге социјалне заштите о чијем се обезбеђивању стара Аутономна Покрајина Војводина, односно Град Нови Сад, Општине Беочин и Сремски Карловци, Центар обавља у складу са прописом који доноси надлежни орган Града Новог Сада, Општин</w:t>
      </w:r>
      <w:r>
        <w:rPr>
          <w:rFonts w:cs="Tahoma" w:ascii="Tahoma" w:hAnsi="Tahoma"/>
          <w:sz w:val="20"/>
          <w:szCs w:val="18"/>
          <w:lang w:val="sr-Latn-CS"/>
        </w:rPr>
        <w:t>e</w:t>
      </w:r>
      <w:r>
        <w:rPr>
          <w:rFonts w:cs="Tahoma" w:ascii="Tahoma" w:hAnsi="Tahoma"/>
          <w:sz w:val="20"/>
          <w:szCs w:val="18"/>
          <w:lang w:val="sr-CS"/>
        </w:rPr>
        <w:t xml:space="preserve"> Беочин и Сремски Карловци, односно надлежни орган Аутономне Покрајине Војводине. </w:t>
      </w:r>
      <w:r>
        <w:rPr>
          <w:rFonts w:cs="Tahoma" w:ascii="Tahoma" w:hAnsi="Tahoma"/>
          <w:sz w:val="20"/>
          <w:szCs w:val="18"/>
          <w:lang w:val="ru-RU"/>
        </w:rPr>
        <w:t>У складу са</w:t>
      </w:r>
      <w:r>
        <w:rPr>
          <w:rFonts w:cs="Tahoma" w:ascii="Tahoma" w:hAnsi="Tahoma"/>
          <w:sz w:val="20"/>
          <w:szCs w:val="18"/>
          <w:lang w:val="sr-Latn-CS"/>
        </w:rPr>
        <w:t xml:space="preserve"> </w:t>
      </w:r>
      <w:r>
        <w:rPr>
          <w:rFonts w:cs="Tahoma" w:ascii="Tahoma" w:hAnsi="Tahoma"/>
          <w:sz w:val="20"/>
          <w:szCs w:val="18"/>
          <w:lang w:val="ru-RU"/>
        </w:rPr>
        <w:t xml:space="preserve">Правилником о организацији, нормативима и  стандардима рада центара за социјални рад </w:t>
      </w:r>
      <w:r>
        <w:rPr>
          <w:rFonts w:cs="Tahoma" w:ascii="Tahoma" w:hAnsi="Tahoma"/>
          <w:sz w:val="20"/>
          <w:szCs w:val="18"/>
          <w:lang w:val="sr-Latn-CS"/>
        </w:rPr>
        <w:t>(„</w:t>
      </w:r>
      <w:r>
        <w:rPr>
          <w:rFonts w:cs="Tahoma" w:ascii="Tahoma" w:hAnsi="Tahoma"/>
          <w:sz w:val="20"/>
          <w:szCs w:val="18"/>
          <w:lang w:val="sr-CS"/>
        </w:rPr>
        <w:t xml:space="preserve">Сл. гласник РС“, бр. 59/08, 37/10, 39/11- др. правилник и 1/2012 – др. правилник, 51/19, 12/2020 и 83/2022) </w:t>
      </w:r>
      <w:r>
        <w:rPr>
          <w:rFonts w:cs="Tahoma" w:ascii="Tahoma" w:hAnsi="Tahoma"/>
          <w:sz w:val="20"/>
          <w:szCs w:val="18"/>
          <w:lang w:val="ru-RU"/>
        </w:rPr>
        <w:t>послови у Центру су организовани према специфичним карактеристикама група корисника, према функцијама, односно према природи радних процеса. Послови су груписани на: - послове социјалног рада; управно-правне послове; финансијско-административне послове и послове плана и анализе и техничке и помоћне послове.</w:t>
      </w:r>
    </w:p>
    <w:p>
      <w:pPr>
        <w:pStyle w:val="Normal"/>
        <w:spacing w:lineRule="auto" w:line="240" w:before="0" w:after="0"/>
        <w:jc w:val="both"/>
        <w:rPr>
          <w:rFonts w:ascii="Tahoma" w:hAnsi="Tahoma" w:cs="Tahoma"/>
          <w:sz w:val="20"/>
          <w:szCs w:val="18"/>
          <w:lang w:val="sr-CS"/>
        </w:rPr>
      </w:pPr>
      <w:r>
        <w:rPr>
          <w:rFonts w:cs="Tahoma" w:ascii="Tahoma" w:hAnsi="Tahoma"/>
          <w:sz w:val="20"/>
          <w:szCs w:val="18"/>
          <w:lang w:val="ru-RU"/>
        </w:rPr>
        <w:t xml:space="preserve">Треба напоменути да је новосадски центар и међуопштински центар који има  Одељење у Општини Беочин и у Општини Сремски Карловци. </w:t>
      </w:r>
      <w:r>
        <w:rPr>
          <w:rFonts w:cs="Tahoma" w:ascii="Tahoma" w:hAnsi="Tahoma"/>
          <w:sz w:val="20"/>
          <w:szCs w:val="18"/>
          <w:lang w:val="sr-CS"/>
        </w:rPr>
        <w:t>Послови у Центру организовани су по Службама и Одељењима, као организационим јединицама Центра и то: 1. Служба за пријем и управно-правне послове</w:t>
      </w:r>
      <w:r>
        <w:rPr>
          <w:rFonts w:cs="Tahoma" w:ascii="Tahoma" w:hAnsi="Tahoma"/>
          <w:sz w:val="20"/>
          <w:szCs w:val="18"/>
          <w:lang w:val="ru-RU"/>
        </w:rPr>
        <w:t xml:space="preserve">, </w:t>
      </w:r>
      <w:r>
        <w:rPr>
          <w:rFonts w:cs="Tahoma" w:ascii="Tahoma" w:hAnsi="Tahoma"/>
          <w:sz w:val="20"/>
          <w:szCs w:val="18"/>
          <w:lang w:val="sr-CS"/>
        </w:rPr>
        <w:t>2. Служба за заштиту деце и младих</w:t>
      </w:r>
      <w:r>
        <w:rPr>
          <w:rFonts w:cs="Tahoma" w:ascii="Tahoma" w:hAnsi="Tahoma"/>
          <w:sz w:val="20"/>
          <w:szCs w:val="18"/>
          <w:lang w:val="ru-RU"/>
        </w:rPr>
        <w:t>,</w:t>
      </w:r>
      <w:r>
        <w:rPr>
          <w:rFonts w:cs="Tahoma" w:ascii="Tahoma" w:hAnsi="Tahoma"/>
          <w:sz w:val="20"/>
          <w:szCs w:val="18"/>
          <w:lang w:val="sr-CS"/>
        </w:rPr>
        <w:t xml:space="preserve"> 3. Служба за заштиту одраслих и старих, 4. Дневни боравак за децу и младе из породица у ризику, 5. Саветовалиште за брак и породицу, 6. Финансијско-рачуноводствени послови, 7. Информатички и аналитичко-плански послови, 8. Прихватилиште за децу „Сигурна  дечија кућа",  9. Прихватилиште за жене и децу угрожене породичним насиљем „Сигурна женска кућа", 10.  Економско-технички послови, 11. Одељење Центра у Беочину, 12. Одељење Центра у Сремским Карловцима. </w:t>
      </w:r>
    </w:p>
    <w:p>
      <w:pPr>
        <w:pStyle w:val="Normal"/>
        <w:spacing w:lineRule="auto" w:line="240" w:before="0" w:after="0"/>
        <w:jc w:val="both"/>
        <w:rPr>
          <w:rFonts w:ascii="Tahoma" w:hAnsi="Tahoma" w:cs="Tahoma"/>
          <w:sz w:val="20"/>
          <w:szCs w:val="18"/>
          <w:lang w:val="sr-CS"/>
        </w:rPr>
      </w:pPr>
      <w:r>
        <w:rPr>
          <w:rFonts w:cs="Tahoma" w:ascii="Tahoma" w:hAnsi="Tahoma"/>
          <w:sz w:val="20"/>
          <w:szCs w:val="18"/>
          <w:lang w:val="sr-CS"/>
        </w:rPr>
        <w:t>У оквиру Службе за пријем и управно-правне  послове, посебно се формирала 1. Пријемна канцеларија и 2. Канцеларија за материјална давања.</w:t>
      </w:r>
    </w:p>
    <w:p>
      <w:pPr>
        <w:pStyle w:val="TextBodyIndent"/>
        <w:tabs>
          <w:tab w:val="clear" w:pos="720"/>
          <w:tab w:val="left" w:pos="900" w:leader="none"/>
        </w:tabs>
        <w:ind w:start="0" w:hanging="0"/>
        <w:rPr>
          <w:rFonts w:ascii="Tahoma" w:hAnsi="Tahoma" w:cs="Tahoma"/>
          <w:b/>
          <w:b/>
          <w:bCs/>
          <w:sz w:val="20"/>
          <w:szCs w:val="18"/>
        </w:rPr>
      </w:pPr>
      <w:r>
        <w:rPr>
          <w:rFonts w:cs="Tahoma" w:ascii="Tahoma" w:hAnsi="Tahoma"/>
          <w:b/>
          <w:bCs/>
          <w:sz w:val="20"/>
          <w:szCs w:val="18"/>
        </w:rPr>
      </w:r>
    </w:p>
    <w:p>
      <w:pPr>
        <w:pStyle w:val="List2"/>
        <w:tabs>
          <w:tab w:val="clear" w:pos="720"/>
          <w:tab w:val="left" w:pos="360" w:leader="none"/>
        </w:tabs>
        <w:ind w:start="0" w:hanging="0"/>
        <w:jc w:val="both"/>
        <w:rPr>
          <w:rFonts w:ascii="Tahoma" w:hAnsi="Tahoma" w:cs="Tahoma"/>
          <w:sz w:val="20"/>
          <w:szCs w:val="18"/>
          <w:lang w:val="ru-RU"/>
        </w:rPr>
      </w:pPr>
      <w:r>
        <w:rPr>
          <w:rFonts w:cs="Tahoma" w:ascii="Tahoma" w:hAnsi="Tahoma"/>
          <w:sz w:val="20"/>
          <w:szCs w:val="18"/>
          <w:lang w:val="ru-RU"/>
        </w:rPr>
        <w:t xml:space="preserve">Одељење у Беочину је, на дан 31.12.2023. године, радило са седам запослених радника, од чега су </w:t>
      </w:r>
      <w:r>
        <w:rPr>
          <w:rFonts w:cs="Tahoma" w:ascii="Tahoma" w:hAnsi="Tahoma"/>
          <w:sz w:val="20"/>
          <w:szCs w:val="18"/>
          <w:lang w:val="sr-CS"/>
        </w:rPr>
        <w:t xml:space="preserve">три </w:t>
      </w:r>
      <w:r>
        <w:rPr>
          <w:rFonts w:cs="Tahoma" w:ascii="Tahoma" w:hAnsi="Tahoma"/>
          <w:sz w:val="20"/>
          <w:szCs w:val="18"/>
          <w:lang w:val="ru-RU"/>
        </w:rPr>
        <w:t>запослена радника на неодређено време, а четири радника на одређено време.  Стручни рад је организован у оквиру два тима: 1) Тим за заштиту одраслих и старих; и 2) Тим за заштиту деце и омладине. Иако је организација стручног рада Одељења у Беочину, усклађена са организацијом стручног рада у Центру за социјални рад Града Новог Сада, услед малог броја запослених стручних радника и обима посла, чланови тимова се у складу са потребама рада мењају.</w:t>
      </w:r>
    </w:p>
    <w:p>
      <w:pPr>
        <w:pStyle w:val="List2"/>
        <w:tabs>
          <w:tab w:val="clear" w:pos="720"/>
          <w:tab w:val="left" w:pos="360" w:leader="none"/>
        </w:tabs>
        <w:ind w:start="0" w:hanging="0"/>
        <w:jc w:val="both"/>
        <w:rPr>
          <w:rFonts w:ascii="Tahoma" w:hAnsi="Tahoma" w:cs="Tahoma"/>
          <w:sz w:val="20"/>
          <w:szCs w:val="18"/>
          <w:lang w:val="ru-RU"/>
        </w:rPr>
      </w:pPr>
      <w:r>
        <w:rPr>
          <w:rFonts w:cs="Tahoma" w:ascii="Tahoma" w:hAnsi="Tahoma"/>
          <w:sz w:val="20"/>
          <w:szCs w:val="18"/>
          <w:lang w:val="ru-RU"/>
        </w:rPr>
      </w:r>
    </w:p>
    <w:p>
      <w:pPr>
        <w:pStyle w:val="Normal"/>
        <w:tabs>
          <w:tab w:val="clear" w:pos="720"/>
          <w:tab w:val="left" w:pos="2660" w:leader="none"/>
        </w:tabs>
        <w:spacing w:lineRule="auto" w:line="240" w:before="0" w:after="0"/>
        <w:jc w:val="both"/>
        <w:rPr>
          <w:rFonts w:ascii="Tahoma" w:hAnsi="Tahoma" w:cs="Tahoma"/>
          <w:sz w:val="18"/>
          <w:szCs w:val="18"/>
          <w:lang w:val="sr-CS"/>
        </w:rPr>
      </w:pPr>
      <w:r>
        <w:rPr>
          <w:rFonts w:cs="Tahoma" w:ascii="Tahoma" w:hAnsi="Tahoma"/>
          <w:sz w:val="18"/>
          <w:szCs w:val="18"/>
          <w:lang w:val="sr-RS"/>
        </w:rPr>
        <w:t xml:space="preserve">Табела 7.7. </w:t>
      </w:r>
      <w:r>
        <w:rPr>
          <w:rFonts w:cs="Tahoma" w:ascii="Tahoma" w:hAnsi="Tahoma"/>
          <w:sz w:val="18"/>
          <w:szCs w:val="18"/>
          <w:lang w:val="sr-Latn-CS"/>
        </w:rPr>
        <w:t>Укупан број радника</w:t>
      </w:r>
      <w:r>
        <w:rPr>
          <w:rFonts w:cs="Tahoma" w:ascii="Tahoma" w:hAnsi="Tahoma"/>
          <w:sz w:val="18"/>
          <w:szCs w:val="18"/>
          <w:lang w:val="sr-CS"/>
        </w:rPr>
        <w:t xml:space="preserve"> у Одељењу Беочин на </w:t>
      </w:r>
      <w:r>
        <w:rPr>
          <w:rFonts w:cs="Tahoma" w:ascii="Tahoma" w:hAnsi="Tahoma"/>
          <w:sz w:val="18"/>
          <w:szCs w:val="18"/>
          <w:lang w:val="sr-Latn-CS"/>
        </w:rPr>
        <w:t>према извору финансирања</w:t>
      </w:r>
      <w:r>
        <w:rPr>
          <w:rFonts w:cs="Tahoma" w:ascii="Tahoma" w:hAnsi="Tahoma"/>
          <w:sz w:val="18"/>
          <w:szCs w:val="18"/>
          <w:lang w:val="sr-CS"/>
        </w:rPr>
        <w:t>, на дан 31.12.2023.:</w:t>
      </w:r>
    </w:p>
    <w:tbl>
      <w:tblPr>
        <w:tblW w:w="9423" w:type="dxa"/>
        <w:jc w:val="start"/>
        <w:tblInd w:w="0" w:type="dxa"/>
        <w:tblLayout w:type="fixed"/>
        <w:tblCellMar>
          <w:top w:w="0" w:type="dxa"/>
          <w:start w:w="108" w:type="dxa"/>
          <w:bottom w:w="0" w:type="dxa"/>
          <w:end w:w="108" w:type="dxa"/>
        </w:tblCellMar>
        <w:tblLook w:firstRow="1" w:noVBand="0" w:lastRow="1" w:firstColumn="1" w:lastColumn="1" w:noHBand="0" w:val="01e0"/>
      </w:tblPr>
      <w:tblGrid>
        <w:gridCol w:w="4815"/>
        <w:gridCol w:w="4607"/>
      </w:tblGrid>
      <w:tr>
        <w:trPr>
          <w:trHeight w:val="179" w:hRule="atLeast"/>
        </w:trPr>
        <w:tc>
          <w:tcPr>
            <w:tcW w:w="4815"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Latn-CS"/>
              </w:rPr>
              <w:t>Извор финансирања</w:t>
            </w:r>
          </w:p>
        </w:tc>
        <w:tc>
          <w:tcPr>
            <w:tcW w:w="460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tabs>
                <w:tab w:val="clear" w:pos="720"/>
                <w:tab w:val="left" w:pos="2660" w:leader="none"/>
              </w:tabs>
              <w:spacing w:lineRule="auto" w:line="240" w:before="0" w:after="0"/>
              <w:jc w:val="center"/>
              <w:rPr>
                <w:rFonts w:ascii="Tahoma" w:hAnsi="Tahoma" w:cs="Tahoma"/>
                <w:b/>
                <w:b/>
                <w:sz w:val="20"/>
                <w:szCs w:val="18"/>
                <w:lang w:val="sr-Latn-CS"/>
              </w:rPr>
            </w:pPr>
            <w:r>
              <w:rPr>
                <w:rFonts w:cs="Tahoma" w:ascii="Tahoma" w:hAnsi="Tahoma"/>
                <w:b/>
                <w:sz w:val="20"/>
                <w:szCs w:val="18"/>
                <w:lang w:val="sr-Latn-CS"/>
              </w:rPr>
              <w:t>Број радника</w:t>
            </w:r>
          </w:p>
        </w:tc>
      </w:tr>
      <w:tr>
        <w:trPr/>
        <w:tc>
          <w:tcPr>
            <w:tcW w:w="4815"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sz w:val="20"/>
                <w:szCs w:val="18"/>
                <w:lang w:val="sr-Latn-CS"/>
              </w:rPr>
            </w:pPr>
            <w:r>
              <w:rPr>
                <w:rFonts w:cs="Tahoma" w:ascii="Tahoma" w:hAnsi="Tahoma"/>
                <w:sz w:val="20"/>
                <w:szCs w:val="18"/>
                <w:lang w:val="sr-Latn-CS"/>
              </w:rPr>
              <w:t>Републички буџет</w:t>
            </w:r>
          </w:p>
        </w:tc>
        <w:tc>
          <w:tcPr>
            <w:tcW w:w="4607"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3</w:t>
            </w:r>
          </w:p>
        </w:tc>
      </w:tr>
      <w:tr>
        <w:trPr/>
        <w:tc>
          <w:tcPr>
            <w:tcW w:w="4815"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sz w:val="20"/>
                <w:szCs w:val="18"/>
                <w:lang w:val="sr-Latn-CS"/>
              </w:rPr>
            </w:pPr>
            <w:r>
              <w:rPr>
                <w:rFonts w:cs="Tahoma" w:ascii="Tahoma" w:hAnsi="Tahoma"/>
                <w:sz w:val="20"/>
                <w:szCs w:val="18"/>
                <w:lang w:val="sr-CS"/>
              </w:rPr>
              <w:t xml:space="preserve">Општински </w:t>
            </w:r>
            <w:r>
              <w:rPr>
                <w:rFonts w:cs="Tahoma" w:ascii="Tahoma" w:hAnsi="Tahoma"/>
                <w:sz w:val="20"/>
                <w:szCs w:val="18"/>
                <w:lang w:val="sr-Latn-CS"/>
              </w:rPr>
              <w:t>буџет</w:t>
            </w:r>
          </w:p>
        </w:tc>
        <w:tc>
          <w:tcPr>
            <w:tcW w:w="4607"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rPr>
            </w:pPr>
            <w:r>
              <w:rPr>
                <w:rFonts w:cs="Tahoma" w:ascii="Tahoma" w:hAnsi="Tahoma"/>
                <w:sz w:val="20"/>
                <w:szCs w:val="18"/>
              </w:rPr>
              <w:t>4</w:t>
            </w:r>
          </w:p>
        </w:tc>
      </w:tr>
      <w:tr>
        <w:trPr/>
        <w:tc>
          <w:tcPr>
            <w:tcW w:w="4815"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b/>
                <w:b/>
                <w:caps/>
                <w:sz w:val="20"/>
                <w:szCs w:val="18"/>
                <w:lang w:val="sr-Latn-CS"/>
              </w:rPr>
            </w:pPr>
            <w:r>
              <w:rPr>
                <w:rFonts w:cs="Tahoma" w:ascii="Tahoma" w:hAnsi="Tahoma"/>
                <w:b/>
                <w:sz w:val="20"/>
                <w:szCs w:val="18"/>
                <w:lang w:val="sr-Latn-CS"/>
              </w:rPr>
              <w:t>Укупан број радника</w:t>
            </w:r>
          </w:p>
        </w:tc>
        <w:tc>
          <w:tcPr>
            <w:tcW w:w="4607"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b/>
                <w:b/>
                <w:sz w:val="20"/>
                <w:szCs w:val="18"/>
              </w:rPr>
            </w:pPr>
            <w:r>
              <w:rPr>
                <w:rFonts w:cs="Tahoma" w:ascii="Tahoma" w:hAnsi="Tahoma"/>
                <w:b/>
                <w:sz w:val="20"/>
                <w:szCs w:val="18"/>
              </w:rPr>
              <w:t>7</w:t>
            </w:r>
          </w:p>
        </w:tc>
      </w:tr>
    </w:tbl>
    <w:p>
      <w:pPr>
        <w:pStyle w:val="Normal"/>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Latn-CS"/>
        </w:rPr>
      </w:r>
    </w:p>
    <w:p>
      <w:pPr>
        <w:pStyle w:val="Normal"/>
        <w:tabs>
          <w:tab w:val="clear" w:pos="720"/>
          <w:tab w:val="left" w:pos="2660" w:leader="none"/>
        </w:tabs>
        <w:spacing w:lineRule="auto" w:line="240" w:before="0" w:after="0"/>
        <w:jc w:val="both"/>
        <w:rPr>
          <w:rFonts w:ascii="Tahoma" w:hAnsi="Tahoma" w:cs="Tahoma"/>
          <w:i/>
          <w:i/>
          <w:color w:val="1F4E79" w:themeColor="accent5" w:themeShade="80"/>
          <w:sz w:val="18"/>
          <w:szCs w:val="18"/>
          <w:lang w:val="sr-RS"/>
        </w:rPr>
      </w:pPr>
      <w:r>
        <w:rPr>
          <w:rFonts w:cs="Tahoma" w:ascii="Tahoma" w:hAnsi="Tahoma"/>
          <w:i/>
          <w:color w:val="1F4E79" w:themeColor="accent5" w:themeShade="80"/>
          <w:sz w:val="18"/>
          <w:szCs w:val="18"/>
          <w:lang w:val="sr-RS"/>
        </w:rPr>
        <w:t>Табела 15: Број радника у Одељењу Беочин према врсти посла и извору финансирања на дан 31.12.2023.</w:t>
      </w:r>
    </w:p>
    <w:tbl>
      <w:tblPr>
        <w:tblW w:w="9358" w:type="dxa"/>
        <w:jc w:val="start"/>
        <w:tblInd w:w="0" w:type="dxa"/>
        <w:tblLayout w:type="fixed"/>
        <w:tblCellMar>
          <w:top w:w="0" w:type="dxa"/>
          <w:start w:w="108" w:type="dxa"/>
          <w:bottom w:w="0" w:type="dxa"/>
          <w:end w:w="108" w:type="dxa"/>
        </w:tblCellMar>
        <w:tblLook w:firstRow="1" w:noVBand="0" w:lastRow="1" w:firstColumn="1" w:lastColumn="1" w:noHBand="0" w:val="01e0"/>
      </w:tblPr>
      <w:tblGrid>
        <w:gridCol w:w="4389"/>
        <w:gridCol w:w="1582"/>
        <w:gridCol w:w="2018"/>
        <w:gridCol w:w="1368"/>
      </w:tblGrid>
      <w:tr>
        <w:trPr/>
        <w:tc>
          <w:tcPr>
            <w:tcW w:w="4389"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Latn-CS"/>
              </w:rPr>
              <w:t>Врста послова</w:t>
            </w:r>
          </w:p>
        </w:tc>
        <w:tc>
          <w:tcPr>
            <w:tcW w:w="1582"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Latn-CS"/>
              </w:rPr>
              <w:t>Репуб. буџет</w:t>
            </w:r>
          </w:p>
        </w:tc>
        <w:tc>
          <w:tcPr>
            <w:tcW w:w="2018"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CS"/>
              </w:rPr>
              <w:t>Општински</w:t>
            </w:r>
            <w:r>
              <w:rPr>
                <w:rFonts w:cs="Tahoma" w:ascii="Tahoma" w:hAnsi="Tahoma"/>
                <w:b/>
                <w:sz w:val="20"/>
                <w:szCs w:val="18"/>
                <w:lang w:val="sr-Latn-CS"/>
              </w:rPr>
              <w:t xml:space="preserve"> буџет</w:t>
            </w:r>
          </w:p>
        </w:tc>
        <w:tc>
          <w:tcPr>
            <w:tcW w:w="1368"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Latn-CS"/>
              </w:rPr>
              <w:t>Укупно</w:t>
            </w:r>
          </w:p>
        </w:tc>
      </w:tr>
      <w:tr>
        <w:trPr/>
        <w:tc>
          <w:tcPr>
            <w:tcW w:w="4389"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sz w:val="20"/>
                <w:szCs w:val="18"/>
                <w:lang w:val="sr-Latn-CS"/>
              </w:rPr>
            </w:pPr>
            <w:r>
              <w:rPr>
                <w:rFonts w:cs="Tahoma" w:ascii="Tahoma" w:hAnsi="Tahoma"/>
                <w:sz w:val="20"/>
                <w:szCs w:val="18"/>
                <w:lang w:val="sr-Latn-CS"/>
              </w:rPr>
              <w:t>Руководиоци</w:t>
            </w:r>
          </w:p>
        </w:tc>
        <w:tc>
          <w:tcPr>
            <w:tcW w:w="1582"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1</w:t>
            </w:r>
          </w:p>
        </w:tc>
        <w:tc>
          <w:tcPr>
            <w:tcW w:w="201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r>
          </w:p>
        </w:tc>
        <w:tc>
          <w:tcPr>
            <w:tcW w:w="136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1</w:t>
            </w:r>
          </w:p>
        </w:tc>
      </w:tr>
      <w:tr>
        <w:trPr/>
        <w:tc>
          <w:tcPr>
            <w:tcW w:w="4389"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sz w:val="20"/>
                <w:szCs w:val="18"/>
                <w:lang w:val="sr-Latn-CS"/>
              </w:rPr>
            </w:pPr>
            <w:r>
              <w:rPr>
                <w:rFonts w:cs="Tahoma" w:ascii="Tahoma" w:hAnsi="Tahoma"/>
                <w:sz w:val="20"/>
                <w:szCs w:val="18"/>
                <w:lang w:val="sr-Latn-CS"/>
              </w:rPr>
              <w:t>Стручни радници</w:t>
            </w:r>
          </w:p>
        </w:tc>
        <w:tc>
          <w:tcPr>
            <w:tcW w:w="1582"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1</w:t>
            </w:r>
          </w:p>
        </w:tc>
        <w:tc>
          <w:tcPr>
            <w:tcW w:w="201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3</w:t>
            </w:r>
          </w:p>
        </w:tc>
        <w:tc>
          <w:tcPr>
            <w:tcW w:w="136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rPr>
            </w:pPr>
            <w:r>
              <w:rPr>
                <w:rFonts w:cs="Tahoma" w:ascii="Tahoma" w:hAnsi="Tahoma"/>
                <w:sz w:val="20"/>
                <w:szCs w:val="18"/>
              </w:rPr>
              <w:t>4</w:t>
            </w:r>
          </w:p>
        </w:tc>
      </w:tr>
      <w:tr>
        <w:trPr/>
        <w:tc>
          <w:tcPr>
            <w:tcW w:w="4389"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sz w:val="20"/>
                <w:szCs w:val="18"/>
                <w:lang w:val="sr-Latn-CS"/>
              </w:rPr>
            </w:pPr>
            <w:r>
              <w:rPr>
                <w:rFonts w:cs="Tahoma" w:ascii="Tahoma" w:hAnsi="Tahoma"/>
                <w:sz w:val="20"/>
                <w:szCs w:val="18"/>
                <w:lang w:val="sr-Latn-CS"/>
              </w:rPr>
              <w:t>Административни</w:t>
            </w:r>
          </w:p>
        </w:tc>
        <w:tc>
          <w:tcPr>
            <w:tcW w:w="1582"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1</w:t>
            </w:r>
          </w:p>
        </w:tc>
        <w:tc>
          <w:tcPr>
            <w:tcW w:w="201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1</w:t>
            </w:r>
          </w:p>
        </w:tc>
        <w:tc>
          <w:tcPr>
            <w:tcW w:w="136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2</w:t>
            </w:r>
          </w:p>
        </w:tc>
      </w:tr>
      <w:tr>
        <w:trPr/>
        <w:tc>
          <w:tcPr>
            <w:tcW w:w="4389"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Latn-CS"/>
              </w:rPr>
              <w:t>Укупан број запослених</w:t>
            </w:r>
          </w:p>
        </w:tc>
        <w:tc>
          <w:tcPr>
            <w:tcW w:w="1582"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b/>
                <w:b/>
                <w:sz w:val="20"/>
                <w:szCs w:val="18"/>
                <w:lang w:val="sr-CS"/>
              </w:rPr>
            </w:pPr>
            <w:r>
              <w:rPr>
                <w:rFonts w:cs="Tahoma" w:ascii="Tahoma" w:hAnsi="Tahoma"/>
                <w:b/>
                <w:sz w:val="20"/>
                <w:szCs w:val="18"/>
                <w:lang w:val="sr-CS"/>
              </w:rPr>
              <w:t>3</w:t>
            </w:r>
          </w:p>
        </w:tc>
        <w:tc>
          <w:tcPr>
            <w:tcW w:w="201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b/>
                <w:b/>
                <w:sz w:val="20"/>
                <w:szCs w:val="18"/>
                <w:lang w:val="sr-CS"/>
              </w:rPr>
            </w:pPr>
            <w:r>
              <w:rPr>
                <w:rFonts w:cs="Tahoma" w:ascii="Tahoma" w:hAnsi="Tahoma"/>
                <w:b/>
                <w:sz w:val="20"/>
                <w:szCs w:val="18"/>
                <w:lang w:val="sr-CS"/>
              </w:rPr>
              <w:t>4</w:t>
            </w:r>
          </w:p>
        </w:tc>
        <w:tc>
          <w:tcPr>
            <w:tcW w:w="136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b/>
                <w:b/>
                <w:sz w:val="20"/>
                <w:szCs w:val="18"/>
                <w:lang w:val="sr-CS"/>
              </w:rPr>
            </w:pPr>
            <w:r>
              <w:rPr>
                <w:rFonts w:cs="Tahoma" w:ascii="Tahoma" w:hAnsi="Tahoma"/>
                <w:b/>
                <w:sz w:val="20"/>
                <w:szCs w:val="18"/>
                <w:lang w:val="sr-CS"/>
              </w:rPr>
              <w:t>7</w:t>
            </w:r>
          </w:p>
        </w:tc>
      </w:tr>
    </w:tbl>
    <w:p>
      <w:pPr>
        <w:pStyle w:val="Normal"/>
        <w:tabs>
          <w:tab w:val="clear" w:pos="720"/>
          <w:tab w:val="left" w:pos="2660" w:leader="none"/>
        </w:tabs>
        <w:spacing w:lineRule="auto" w:line="240" w:before="0" w:after="0"/>
        <w:jc w:val="both"/>
        <w:rPr>
          <w:rFonts w:ascii="Tahoma" w:hAnsi="Tahoma" w:cs="Tahoma"/>
          <w:b/>
          <w:b/>
          <w:sz w:val="20"/>
          <w:szCs w:val="18"/>
        </w:rPr>
      </w:pPr>
      <w:r>
        <w:rPr>
          <w:rFonts w:cs="Tahoma" w:ascii="Tahoma" w:hAnsi="Tahoma"/>
          <w:b/>
          <w:sz w:val="20"/>
          <w:szCs w:val="18"/>
        </w:rPr>
      </w:r>
    </w:p>
    <w:p>
      <w:pPr>
        <w:pStyle w:val="Normal"/>
        <w:tabs>
          <w:tab w:val="clear" w:pos="720"/>
          <w:tab w:val="left" w:pos="2660" w:leader="none"/>
        </w:tabs>
        <w:spacing w:lineRule="auto" w:line="240" w:before="0" w:after="0"/>
        <w:jc w:val="both"/>
        <w:rPr>
          <w:rFonts w:ascii="Tahoma" w:hAnsi="Tahoma" w:cs="Tahoma"/>
          <w:sz w:val="18"/>
          <w:szCs w:val="18"/>
          <w:lang w:val="sr-CS"/>
        </w:rPr>
      </w:pPr>
      <w:r>
        <w:rPr>
          <w:rFonts w:cs="Tahoma" w:ascii="Tahoma" w:hAnsi="Tahoma"/>
          <w:sz w:val="18"/>
          <w:szCs w:val="18"/>
          <w:lang w:val="sr-RS"/>
        </w:rPr>
        <w:t>Табела 7.8. Структура стручних радника у одељењу Беочин према профилу и извору финансирања на дан</w:t>
      </w:r>
      <w:r>
        <w:rPr>
          <w:rFonts w:cs="Tahoma" w:ascii="Tahoma" w:hAnsi="Tahoma"/>
          <w:sz w:val="20"/>
          <w:szCs w:val="18"/>
          <w:lang w:val="sr-CS"/>
        </w:rPr>
        <w:t xml:space="preserve"> </w:t>
      </w:r>
      <w:r>
        <w:rPr>
          <w:rFonts w:cs="Tahoma" w:ascii="Tahoma" w:hAnsi="Tahoma"/>
          <w:sz w:val="18"/>
          <w:szCs w:val="18"/>
          <w:lang w:val="sr-CS"/>
        </w:rPr>
        <w:t>31.12.2023.</w:t>
      </w:r>
    </w:p>
    <w:tbl>
      <w:tblPr>
        <w:tblW w:w="9340" w:type="dxa"/>
        <w:jc w:val="start"/>
        <w:tblInd w:w="-5" w:type="dxa"/>
        <w:tblLayout w:type="fixed"/>
        <w:tblCellMar>
          <w:top w:w="0" w:type="dxa"/>
          <w:start w:w="108" w:type="dxa"/>
          <w:bottom w:w="0" w:type="dxa"/>
          <w:end w:w="108" w:type="dxa"/>
        </w:tblCellMar>
        <w:tblLook w:firstRow="1" w:noVBand="0" w:lastRow="1" w:firstColumn="1" w:lastColumn="1" w:noHBand="0" w:val="01e0"/>
      </w:tblPr>
      <w:tblGrid>
        <w:gridCol w:w="4718"/>
        <w:gridCol w:w="1457"/>
        <w:gridCol w:w="1990"/>
        <w:gridCol w:w="1174"/>
      </w:tblGrid>
      <w:tr>
        <w:trPr/>
        <w:tc>
          <w:tcPr>
            <w:tcW w:w="4718"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Latn-CS"/>
              </w:rPr>
              <w:t>Стручни профил</w:t>
            </w:r>
          </w:p>
        </w:tc>
        <w:tc>
          <w:tcPr>
            <w:tcW w:w="1457"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Latn-CS"/>
              </w:rPr>
              <w:t>Репуб. буџет</w:t>
            </w:r>
          </w:p>
        </w:tc>
        <w:tc>
          <w:tcPr>
            <w:tcW w:w="1990" w:type="dxa"/>
            <w:tcBorders>
              <w:top w:val="single" w:sz="4" w:space="0" w:color="000000"/>
              <w:start w:val="single" w:sz="4" w:space="0" w:color="000000"/>
              <w:bottom w:val="single" w:sz="4" w:space="0" w:color="000000"/>
              <w:end w:val="single" w:sz="4" w:space="0" w:color="000000"/>
            </w:tcBorders>
            <w:shd w:color="auto" w:fill="DEEAF6" w:themeFill="accent5" w:themeFillTint="33" w:val="clear"/>
            <w:vAlign w:val="center"/>
          </w:tcPr>
          <w:p>
            <w:pPr>
              <w:pStyle w:val="Normal"/>
              <w:widowControl w:val="false"/>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CS"/>
              </w:rPr>
              <w:t xml:space="preserve">Општински </w:t>
            </w:r>
            <w:r>
              <w:rPr>
                <w:rFonts w:cs="Tahoma" w:ascii="Tahoma" w:hAnsi="Tahoma"/>
                <w:b/>
                <w:sz w:val="20"/>
                <w:szCs w:val="18"/>
                <w:lang w:val="sr-Latn-CS"/>
              </w:rPr>
              <w:t>буџет</w:t>
            </w:r>
          </w:p>
        </w:tc>
        <w:tc>
          <w:tcPr>
            <w:tcW w:w="1174" w:type="dxa"/>
            <w:tcBorders>
              <w:top w:val="single" w:sz="4" w:space="0" w:color="000000"/>
              <w:start w:val="single" w:sz="4" w:space="0" w:color="000000"/>
              <w:bottom w:val="single" w:sz="4" w:space="0" w:color="000000"/>
              <w:end w:val="single" w:sz="4" w:space="0" w:color="000000"/>
            </w:tcBorders>
            <w:shd w:color="auto" w:fill="DEEAF6" w:themeFill="accent5" w:themeFillTint="33" w:val="clear"/>
          </w:tcPr>
          <w:p>
            <w:pPr>
              <w:pStyle w:val="Normal"/>
              <w:widowControl w:val="false"/>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Latn-CS"/>
              </w:rPr>
              <w:t>Укупно</w:t>
            </w:r>
          </w:p>
        </w:tc>
      </w:tr>
      <w:tr>
        <w:trPr/>
        <w:tc>
          <w:tcPr>
            <w:tcW w:w="471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sz w:val="20"/>
                <w:szCs w:val="18"/>
                <w:lang w:val="sr-Latn-CS"/>
              </w:rPr>
            </w:pPr>
            <w:r>
              <w:rPr>
                <w:rFonts w:cs="Tahoma" w:ascii="Tahoma" w:hAnsi="Tahoma"/>
                <w:sz w:val="20"/>
                <w:szCs w:val="18"/>
                <w:lang w:val="sr-Latn-CS"/>
              </w:rPr>
              <w:t>Социјални радник</w:t>
            </w:r>
          </w:p>
        </w:tc>
        <w:tc>
          <w:tcPr>
            <w:tcW w:w="1457"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1</w:t>
            </w:r>
          </w:p>
        </w:tc>
        <w:tc>
          <w:tcPr>
            <w:tcW w:w="1990"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1</w:t>
            </w:r>
          </w:p>
        </w:tc>
        <w:tc>
          <w:tcPr>
            <w:tcW w:w="1174"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2</w:t>
            </w:r>
          </w:p>
        </w:tc>
      </w:tr>
      <w:tr>
        <w:trPr/>
        <w:tc>
          <w:tcPr>
            <w:tcW w:w="471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sz w:val="20"/>
                <w:szCs w:val="18"/>
                <w:lang w:val="sr-Latn-CS"/>
              </w:rPr>
            </w:pPr>
            <w:r>
              <w:rPr>
                <w:rFonts w:cs="Tahoma" w:ascii="Tahoma" w:hAnsi="Tahoma"/>
                <w:sz w:val="20"/>
                <w:szCs w:val="18"/>
                <w:lang w:val="sr-Latn-CS"/>
              </w:rPr>
              <w:t>Правник</w:t>
            </w:r>
          </w:p>
        </w:tc>
        <w:tc>
          <w:tcPr>
            <w:tcW w:w="1457"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r>
          </w:p>
        </w:tc>
        <w:tc>
          <w:tcPr>
            <w:tcW w:w="1990"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r>
          </w:p>
        </w:tc>
        <w:tc>
          <w:tcPr>
            <w:tcW w:w="1174"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r>
          </w:p>
        </w:tc>
      </w:tr>
      <w:tr>
        <w:trPr>
          <w:trHeight w:val="283" w:hRule="atLeast"/>
        </w:trPr>
        <w:tc>
          <w:tcPr>
            <w:tcW w:w="471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sz w:val="20"/>
                <w:szCs w:val="18"/>
                <w:lang w:val="sr-Latn-CS"/>
              </w:rPr>
            </w:pPr>
            <w:r>
              <w:rPr>
                <w:rFonts w:cs="Tahoma" w:ascii="Tahoma" w:hAnsi="Tahoma"/>
                <w:sz w:val="20"/>
                <w:szCs w:val="18"/>
                <w:lang w:val="sr-Latn-CS"/>
              </w:rPr>
              <w:t>Психолог</w:t>
            </w:r>
          </w:p>
        </w:tc>
        <w:tc>
          <w:tcPr>
            <w:tcW w:w="1457"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r>
          </w:p>
        </w:tc>
        <w:tc>
          <w:tcPr>
            <w:tcW w:w="1990"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1</w:t>
            </w:r>
          </w:p>
        </w:tc>
        <w:tc>
          <w:tcPr>
            <w:tcW w:w="1174"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1</w:t>
            </w:r>
          </w:p>
        </w:tc>
      </w:tr>
      <w:tr>
        <w:trPr>
          <w:trHeight w:val="131" w:hRule="atLeast"/>
        </w:trPr>
        <w:tc>
          <w:tcPr>
            <w:tcW w:w="471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sz w:val="20"/>
                <w:szCs w:val="18"/>
                <w:lang w:val="sr-CS"/>
              </w:rPr>
            </w:pPr>
            <w:r>
              <w:rPr>
                <w:rFonts w:cs="Tahoma" w:ascii="Tahoma" w:hAnsi="Tahoma"/>
                <w:sz w:val="20"/>
                <w:szCs w:val="18"/>
                <w:lang w:val="sr-CS"/>
              </w:rPr>
              <w:t>Педагог</w:t>
            </w:r>
          </w:p>
        </w:tc>
        <w:tc>
          <w:tcPr>
            <w:tcW w:w="1457"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r>
          </w:p>
        </w:tc>
        <w:tc>
          <w:tcPr>
            <w:tcW w:w="1990"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1</w:t>
            </w:r>
          </w:p>
        </w:tc>
        <w:tc>
          <w:tcPr>
            <w:tcW w:w="1174"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sz w:val="20"/>
                <w:szCs w:val="18"/>
                <w:lang w:val="sr-CS"/>
              </w:rPr>
            </w:pPr>
            <w:r>
              <w:rPr>
                <w:rFonts w:cs="Tahoma" w:ascii="Tahoma" w:hAnsi="Tahoma"/>
                <w:sz w:val="20"/>
                <w:szCs w:val="18"/>
                <w:lang w:val="sr-CS"/>
              </w:rPr>
              <w:t>1</w:t>
            </w:r>
          </w:p>
        </w:tc>
      </w:tr>
      <w:tr>
        <w:trPr/>
        <w:tc>
          <w:tcPr>
            <w:tcW w:w="4718"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both"/>
              <w:rPr>
                <w:rFonts w:ascii="Tahoma" w:hAnsi="Tahoma" w:cs="Tahoma"/>
                <w:b/>
                <w:b/>
                <w:sz w:val="20"/>
                <w:szCs w:val="18"/>
                <w:lang w:val="sr-Latn-CS"/>
              </w:rPr>
            </w:pPr>
            <w:r>
              <w:rPr>
                <w:rFonts w:cs="Tahoma" w:ascii="Tahoma" w:hAnsi="Tahoma"/>
                <w:b/>
                <w:sz w:val="20"/>
                <w:szCs w:val="18"/>
                <w:lang w:val="sr-Latn-CS"/>
              </w:rPr>
              <w:t>Укупан број стручних радника</w:t>
            </w:r>
          </w:p>
        </w:tc>
        <w:tc>
          <w:tcPr>
            <w:tcW w:w="1457"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b/>
                <w:b/>
                <w:sz w:val="20"/>
                <w:szCs w:val="18"/>
              </w:rPr>
            </w:pPr>
            <w:r>
              <w:rPr>
                <w:rFonts w:cs="Tahoma" w:ascii="Tahoma" w:hAnsi="Tahoma"/>
                <w:b/>
                <w:sz w:val="20"/>
                <w:szCs w:val="18"/>
              </w:rPr>
              <w:t>1</w:t>
            </w:r>
          </w:p>
        </w:tc>
        <w:tc>
          <w:tcPr>
            <w:tcW w:w="1990"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b/>
                <w:b/>
                <w:sz w:val="20"/>
                <w:szCs w:val="18"/>
                <w:lang w:val="sr-CS"/>
              </w:rPr>
            </w:pPr>
            <w:r>
              <w:rPr>
                <w:rFonts w:cs="Tahoma" w:ascii="Tahoma" w:hAnsi="Tahoma"/>
                <w:b/>
                <w:sz w:val="20"/>
                <w:szCs w:val="18"/>
                <w:lang w:val="sr-CS"/>
              </w:rPr>
              <w:t>3</w:t>
            </w:r>
          </w:p>
        </w:tc>
        <w:tc>
          <w:tcPr>
            <w:tcW w:w="1174" w:type="dxa"/>
            <w:tcBorders>
              <w:top w:val="single" w:sz="4" w:space="0" w:color="000000"/>
              <w:start w:val="single" w:sz="4" w:space="0" w:color="000000"/>
              <w:bottom w:val="single" w:sz="4" w:space="0" w:color="000000"/>
              <w:end w:val="single" w:sz="4" w:space="0" w:color="000000"/>
            </w:tcBorders>
          </w:tcPr>
          <w:p>
            <w:pPr>
              <w:pStyle w:val="Normal"/>
              <w:widowControl w:val="false"/>
              <w:tabs>
                <w:tab w:val="clear" w:pos="720"/>
                <w:tab w:val="left" w:pos="2660" w:leader="none"/>
              </w:tabs>
              <w:spacing w:lineRule="auto" w:line="240" w:before="0" w:after="0"/>
              <w:jc w:val="center"/>
              <w:rPr>
                <w:rFonts w:ascii="Tahoma" w:hAnsi="Tahoma" w:cs="Tahoma"/>
                <w:b/>
                <w:b/>
                <w:sz w:val="20"/>
                <w:szCs w:val="18"/>
                <w:lang w:val="sr-CS"/>
              </w:rPr>
            </w:pPr>
            <w:r>
              <w:rPr>
                <w:rFonts w:cs="Tahoma" w:ascii="Tahoma" w:hAnsi="Tahoma"/>
                <w:b/>
                <w:sz w:val="20"/>
                <w:szCs w:val="18"/>
                <w:lang w:val="sr-CS"/>
              </w:rPr>
              <w:t>5</w:t>
            </w:r>
          </w:p>
        </w:tc>
      </w:tr>
    </w:tbl>
    <w:p>
      <w:pPr>
        <w:pStyle w:val="Normal"/>
        <w:rPr>
          <w:rFonts w:ascii="Tahoma" w:hAnsi="Tahoma" w:cs="Tahoma"/>
          <w:sz w:val="20"/>
          <w:szCs w:val="18"/>
          <w:lang w:val="sr-CS"/>
        </w:rPr>
      </w:pPr>
      <w:r>
        <w:rPr>
          <w:rFonts w:cs="Tahoma" w:ascii="Tahoma" w:hAnsi="Tahoma"/>
          <w:sz w:val="20"/>
          <w:szCs w:val="18"/>
          <w:lang w:val="sr-CS"/>
        </w:rPr>
      </w:r>
    </w:p>
    <w:p>
      <w:pPr>
        <w:pStyle w:val="Normal"/>
        <w:spacing w:lineRule="auto" w:line="240"/>
        <w:rPr>
          <w:rFonts w:ascii="Tahoma" w:hAnsi="Tahoma" w:cs="Tahoma"/>
          <w:b/>
          <w:b/>
          <w:bCs/>
          <w:sz w:val="20"/>
          <w:lang w:val="sr-RS"/>
        </w:rPr>
      </w:pPr>
      <w:bookmarkStart w:id="43" w:name="_Toc162820156"/>
      <w:r>
        <w:rPr>
          <w:rFonts w:cs="Tahoma" w:ascii="Tahoma" w:hAnsi="Tahoma"/>
          <w:b/>
          <w:bCs/>
          <w:sz w:val="20"/>
          <w:lang w:val="sr-RS"/>
        </w:rPr>
        <w:t>Друге институције/организације од значаја за обезбеђивање услуга социјалне заштите у ЈЛС</w:t>
      </w:r>
      <w:bookmarkEnd w:id="43"/>
    </w:p>
    <w:p>
      <w:pPr>
        <w:pStyle w:val="NormalWeb"/>
        <w:spacing w:beforeAutospacing="0" w:before="10" w:after="280"/>
        <w:jc w:val="both"/>
        <w:rPr>
          <w:rFonts w:ascii="Tahoma" w:hAnsi="Tahoma" w:cs="Tahoma"/>
          <w:sz w:val="20"/>
          <w:szCs w:val="22"/>
          <w:lang w:val="sr-RS"/>
        </w:rPr>
      </w:pPr>
      <w:r>
        <w:rPr>
          <w:rFonts w:cs="Tahoma" w:ascii="Tahoma" w:hAnsi="Tahoma"/>
          <w:sz w:val="20"/>
          <w:szCs w:val="22"/>
          <w:lang w:val="sr-RS"/>
        </w:rPr>
        <w:t xml:space="preserve">На територији општине Беочин предшколско васпитање се одвија у оквиру једне ПУ „Љуба Станковић“ и укупно 7 објеката. Стање већине објеката не задовољава основне услове и стандарде за пружање услуга квалитетног предшколског васпитања. Предшколска установа има проблема са капацитетом и постоји потреба за проширењем истог у виду адаптације, доградње и пренамене простора. У општини Беочин постоји осам основних школа, од чега су две матичне, а остатак су подручна одељења. По једна матична школа и једно подручно одељење се налази у градском насељу, док су преостала матична школа и подручна одељења у ванградским насељима. Матичне школе на територији општине Беочин су ОШ „Јован Грчић Миленко" и ОШ„Јован Поповић". У општини не постоји ниједна средња школа. </w:t>
      </w:r>
    </w:p>
    <w:p>
      <w:pPr>
        <w:pStyle w:val="Normal"/>
        <w:tabs>
          <w:tab w:val="clear" w:pos="720"/>
          <w:tab w:val="left" w:pos="2660" w:leader="none"/>
        </w:tabs>
        <w:spacing w:lineRule="auto" w:line="240" w:before="0" w:after="0"/>
        <w:jc w:val="both"/>
        <w:rPr>
          <w:rFonts w:ascii="Tahoma" w:hAnsi="Tahoma" w:cs="Tahoma"/>
          <w:sz w:val="18"/>
          <w:szCs w:val="18"/>
          <w:lang w:val="sr-RS"/>
        </w:rPr>
      </w:pPr>
      <w:r>
        <w:rPr>
          <w:rFonts w:cs="Tahoma" w:ascii="Tahoma" w:hAnsi="Tahoma"/>
          <w:sz w:val="18"/>
          <w:szCs w:val="18"/>
          <w:lang w:val="sr-RS"/>
        </w:rPr>
        <w:t>Табела 7.9. Корисници јавних средстава у општини Беочин</w:t>
      </w:r>
    </w:p>
    <w:tbl>
      <w:tblPr>
        <w:tblStyle w:val="TableGrid1"/>
        <w:tblW w:w="9081" w:type="dxa"/>
        <w:jc w:val="center"/>
        <w:tblInd w:w="0" w:type="dxa"/>
        <w:tblLayout w:type="fixed"/>
        <w:tblCellMar>
          <w:top w:w="0" w:type="dxa"/>
          <w:start w:w="108" w:type="dxa"/>
          <w:bottom w:w="0" w:type="dxa"/>
          <w:end w:w="108" w:type="dxa"/>
        </w:tblCellMar>
        <w:tblLook w:firstRow="1" w:noVBand="1" w:lastRow="0" w:firstColumn="1" w:lastColumn="0" w:noHBand="0" w:val="04a0"/>
      </w:tblPr>
      <w:tblGrid>
        <w:gridCol w:w="7513"/>
        <w:gridCol w:w="7"/>
        <w:gridCol w:w="1560"/>
      </w:tblGrid>
      <w:tr>
        <w:trPr/>
        <w:tc>
          <w:tcPr>
            <w:tcW w:w="7513" w:type="dxa"/>
            <w:tcBorders/>
            <w:shd w:color="auto" w:fill="D9E2F3" w:themeFill="accent1" w:themeFillTint="33" w:val="clear"/>
          </w:tcPr>
          <w:p>
            <w:pPr>
              <w:pStyle w:val="Normal"/>
              <w:widowControl w:val="false"/>
              <w:suppressAutoHyphens w:val="true"/>
              <w:spacing w:lineRule="auto" w:line="240" w:before="0" w:after="0"/>
              <w:ind w:firstLine="174"/>
              <w:jc w:val="both"/>
              <w:rPr>
                <w:rFonts w:ascii="Tahoma" w:hAnsi="Tahoma" w:cs="Tahoma"/>
                <w:b/>
                <w:b/>
                <w:color w:val="FF0000"/>
                <w:sz w:val="18"/>
                <w:lang w:val="sr-RS"/>
              </w:rPr>
            </w:pPr>
            <w:r>
              <w:rPr>
                <w:rFonts w:eastAsia="Times New Roman" w:cs="Tahoma" w:ascii="Tahoma" w:hAnsi="Tahoma"/>
                <w:b/>
                <w:kern w:val="0"/>
                <w:sz w:val="18"/>
                <w:szCs w:val="22"/>
                <w:lang w:val="sr-RS" w:eastAsia="en-US" w:bidi="ar-SA"/>
              </w:rPr>
              <w:t>Директни корисници буџетских средстава</w:t>
            </w:r>
          </w:p>
        </w:tc>
        <w:tc>
          <w:tcPr>
            <w:tcW w:w="1567" w:type="dxa"/>
            <w:gridSpan w:val="2"/>
            <w:tcBorders/>
            <w:shd w:color="auto" w:fill="D9E2F3" w:themeFill="accent1" w:themeFillTint="33" w:val="clear"/>
          </w:tcPr>
          <w:p>
            <w:pPr>
              <w:pStyle w:val="Normal"/>
              <w:widowControl w:val="false"/>
              <w:suppressAutoHyphens w:val="true"/>
              <w:spacing w:lineRule="auto" w:line="240" w:before="0" w:after="0"/>
              <w:jc w:val="both"/>
              <w:rPr>
                <w:rFonts w:ascii="Tahoma" w:hAnsi="Tahoma" w:cs="Tahoma"/>
                <w:b/>
                <w:b/>
                <w:color w:val="FF0000"/>
                <w:sz w:val="18"/>
                <w:lang w:val="sr-RS"/>
              </w:rPr>
            </w:pPr>
            <w:r>
              <w:rPr>
                <w:rFonts w:eastAsia="Times New Roman" w:cs="Tahoma" w:ascii="Tahoma" w:hAnsi="Tahoma"/>
                <w:b/>
                <w:kern w:val="0"/>
                <w:sz w:val="18"/>
                <w:szCs w:val="22"/>
                <w:lang w:val="sr-RS" w:eastAsia="en-US" w:bidi="ar-SA"/>
              </w:rPr>
              <w:t>Број запослених</w:t>
            </w:r>
          </w:p>
        </w:tc>
      </w:tr>
      <w:tr>
        <w:trPr/>
        <w:tc>
          <w:tcPr>
            <w:tcW w:w="7513" w:type="dxa"/>
            <w:tcBorders/>
            <w:shd w:color="auto" w:fill="auto" w:val="clear"/>
          </w:tcPr>
          <w:p>
            <w:pPr>
              <w:pStyle w:val="ListParagraph"/>
              <w:widowControl w:val="false"/>
              <w:numPr>
                <w:ilvl w:val="0"/>
                <w:numId w:val="4"/>
              </w:numPr>
              <w:suppressAutoHyphens w:val="true"/>
              <w:spacing w:lineRule="auto" w:line="240" w:before="0" w:after="0"/>
              <w:contextualSpacing/>
              <w:jc w:val="start"/>
              <w:rPr>
                <w:rFonts w:ascii="Tahoma" w:hAnsi="Tahoma" w:cs="Tahoma"/>
                <w:sz w:val="18"/>
                <w:lang w:val="sr-RS"/>
              </w:rPr>
            </w:pPr>
            <w:r>
              <w:rPr>
                <w:rFonts w:eastAsia="Times New Roman" w:cs="Tahoma" w:ascii="Tahoma" w:hAnsi="Tahoma"/>
                <w:kern w:val="0"/>
                <w:sz w:val="18"/>
                <w:szCs w:val="22"/>
                <w:lang w:val="sr-RS" w:eastAsia="en-US" w:bidi="ar-SA"/>
              </w:rPr>
              <w:t>Скупштина општине</w:t>
            </w:r>
          </w:p>
        </w:tc>
        <w:tc>
          <w:tcPr>
            <w:tcW w:w="1567" w:type="dxa"/>
            <w:gridSpan w:val="2"/>
            <w:tcBorders/>
            <w:shd w:color="auto" w:fill="auto" w:val="clea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2</w:t>
            </w:r>
          </w:p>
        </w:tc>
      </w:tr>
      <w:tr>
        <w:trPr/>
        <w:tc>
          <w:tcPr>
            <w:tcW w:w="7513" w:type="dxa"/>
            <w:tcBorders/>
            <w:shd w:color="auto" w:fill="auto" w:val="clear"/>
          </w:tcPr>
          <w:p>
            <w:pPr>
              <w:pStyle w:val="ListParagraph"/>
              <w:widowControl w:val="false"/>
              <w:numPr>
                <w:ilvl w:val="0"/>
                <w:numId w:val="4"/>
              </w:numPr>
              <w:suppressAutoHyphens w:val="true"/>
              <w:spacing w:lineRule="auto" w:line="240" w:before="0" w:after="0"/>
              <w:contextualSpacing/>
              <w:jc w:val="start"/>
              <w:rPr>
                <w:rFonts w:ascii="Tahoma" w:hAnsi="Tahoma" w:cs="Tahoma"/>
                <w:sz w:val="18"/>
                <w:lang w:val="sr-RS"/>
              </w:rPr>
            </w:pPr>
            <w:r>
              <w:rPr>
                <w:rFonts w:eastAsia="Times New Roman" w:cs="Tahoma" w:ascii="Tahoma" w:hAnsi="Tahoma"/>
                <w:kern w:val="0"/>
                <w:sz w:val="18"/>
                <w:szCs w:val="22"/>
                <w:lang w:val="sr-RS" w:eastAsia="en-US" w:bidi="ar-SA"/>
              </w:rPr>
              <w:t>Председник општине</w:t>
            </w:r>
          </w:p>
        </w:tc>
        <w:tc>
          <w:tcPr>
            <w:tcW w:w="1567" w:type="dxa"/>
            <w:gridSpan w:val="2"/>
            <w:tcBorders/>
            <w:shd w:color="auto" w:fill="auto" w:val="clea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2</w:t>
            </w:r>
          </w:p>
        </w:tc>
      </w:tr>
      <w:tr>
        <w:trPr/>
        <w:tc>
          <w:tcPr>
            <w:tcW w:w="7513" w:type="dxa"/>
            <w:tcBorders/>
            <w:shd w:color="auto" w:fill="auto" w:val="clear"/>
          </w:tcPr>
          <w:p>
            <w:pPr>
              <w:pStyle w:val="ListParagraph"/>
              <w:widowControl w:val="false"/>
              <w:numPr>
                <w:ilvl w:val="0"/>
                <w:numId w:val="4"/>
              </w:numPr>
              <w:suppressAutoHyphens w:val="true"/>
              <w:spacing w:lineRule="auto" w:line="240" w:before="0" w:after="0"/>
              <w:contextualSpacing/>
              <w:jc w:val="start"/>
              <w:rPr>
                <w:rFonts w:ascii="Tahoma" w:hAnsi="Tahoma" w:cs="Tahoma"/>
                <w:sz w:val="18"/>
                <w:lang w:val="sr-RS"/>
              </w:rPr>
            </w:pPr>
            <w:r>
              <w:rPr>
                <w:rFonts w:eastAsia="Times New Roman" w:cs="Tahoma" w:ascii="Tahoma" w:hAnsi="Tahoma"/>
                <w:kern w:val="0"/>
                <w:sz w:val="18"/>
                <w:szCs w:val="22"/>
                <w:lang w:val="sr-RS" w:eastAsia="en-US" w:bidi="ar-SA"/>
              </w:rPr>
              <w:t>Општинско веће</w:t>
            </w:r>
          </w:p>
        </w:tc>
        <w:tc>
          <w:tcPr>
            <w:tcW w:w="1567" w:type="dxa"/>
            <w:gridSpan w:val="2"/>
            <w:tcBorders/>
            <w:shd w:color="auto" w:fill="auto" w:val="clea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5</w:t>
            </w:r>
          </w:p>
        </w:tc>
      </w:tr>
      <w:tr>
        <w:trPr/>
        <w:tc>
          <w:tcPr>
            <w:tcW w:w="7513" w:type="dxa"/>
            <w:tcBorders/>
            <w:shd w:color="auto" w:fill="auto" w:val="clear"/>
          </w:tcPr>
          <w:p>
            <w:pPr>
              <w:pStyle w:val="ListParagraph"/>
              <w:widowControl w:val="false"/>
              <w:numPr>
                <w:ilvl w:val="0"/>
                <w:numId w:val="4"/>
              </w:numPr>
              <w:suppressAutoHyphens w:val="true"/>
              <w:spacing w:lineRule="auto" w:line="240" w:before="0" w:after="0"/>
              <w:contextualSpacing/>
              <w:jc w:val="start"/>
              <w:rPr>
                <w:rFonts w:ascii="Tahoma" w:hAnsi="Tahoma" w:cs="Tahoma"/>
                <w:sz w:val="18"/>
                <w:lang w:val="sr-RS"/>
              </w:rPr>
            </w:pPr>
            <w:r>
              <w:rPr>
                <w:rFonts w:eastAsia="Times New Roman" w:cs="Tahoma" w:ascii="Tahoma" w:hAnsi="Tahoma"/>
                <w:kern w:val="0"/>
                <w:sz w:val="18"/>
                <w:szCs w:val="22"/>
                <w:lang w:val="sr-RS" w:eastAsia="en-US" w:bidi="ar-SA"/>
              </w:rPr>
              <w:t>Правобранилац општине Беочин</w:t>
            </w:r>
          </w:p>
        </w:tc>
        <w:tc>
          <w:tcPr>
            <w:tcW w:w="1567" w:type="dxa"/>
            <w:gridSpan w:val="2"/>
            <w:tcBorders/>
            <w:shd w:color="auto" w:fill="auto" w:val="clea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1</w:t>
            </w:r>
          </w:p>
        </w:tc>
      </w:tr>
      <w:tr>
        <w:trPr/>
        <w:tc>
          <w:tcPr>
            <w:tcW w:w="7513" w:type="dxa"/>
            <w:tcBorders/>
            <w:shd w:color="auto" w:fill="auto" w:val="clear"/>
          </w:tcPr>
          <w:p>
            <w:pPr>
              <w:pStyle w:val="ListParagraph"/>
              <w:widowControl w:val="false"/>
              <w:numPr>
                <w:ilvl w:val="0"/>
                <w:numId w:val="4"/>
              </w:numPr>
              <w:suppressAutoHyphens w:val="true"/>
              <w:spacing w:lineRule="auto" w:line="240" w:before="0" w:after="0"/>
              <w:contextualSpacing/>
              <w:jc w:val="start"/>
              <w:rPr>
                <w:rFonts w:ascii="Tahoma" w:hAnsi="Tahoma" w:cs="Tahoma"/>
                <w:sz w:val="18"/>
                <w:lang w:val="sr-RS"/>
              </w:rPr>
            </w:pPr>
            <w:r>
              <w:rPr>
                <w:rFonts w:eastAsia="Times New Roman" w:cs="Tahoma" w:ascii="Tahoma" w:hAnsi="Tahoma"/>
                <w:kern w:val="0"/>
                <w:sz w:val="18"/>
                <w:szCs w:val="22"/>
                <w:lang w:val="sr-RS" w:eastAsia="en-US" w:bidi="ar-SA"/>
              </w:rPr>
              <w:t>Општинска управа</w:t>
            </w:r>
          </w:p>
        </w:tc>
        <w:tc>
          <w:tcPr>
            <w:tcW w:w="1567" w:type="dxa"/>
            <w:gridSpan w:val="2"/>
            <w:tcBorders/>
            <w:shd w:color="auto" w:fill="auto" w:val="clea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41</w:t>
            </w:r>
          </w:p>
        </w:tc>
      </w:tr>
      <w:tr>
        <w:trPr/>
        <w:tc>
          <w:tcPr>
            <w:tcW w:w="7513" w:type="dxa"/>
            <w:tcBorders/>
            <w:shd w:color="auto" w:fill="auto" w:val="clear"/>
          </w:tcPr>
          <w:p>
            <w:pPr>
              <w:pStyle w:val="Normal"/>
              <w:widowControl w:val="false"/>
              <w:suppressAutoHyphens w:val="true"/>
              <w:spacing w:lineRule="auto" w:line="240" w:before="0" w:after="0"/>
              <w:jc w:val="both"/>
              <w:rPr>
                <w:rFonts w:ascii="Tahoma" w:hAnsi="Tahoma" w:cs="Tahoma"/>
                <w:b/>
                <w:b/>
                <w:color w:val="FF0000"/>
                <w:sz w:val="18"/>
                <w:lang w:val="sr-RS"/>
              </w:rPr>
            </w:pPr>
            <w:r>
              <w:rPr>
                <w:rFonts w:eastAsia="Times New Roman" w:cs="Tahoma" w:ascii="Tahoma" w:hAnsi="Tahoma"/>
                <w:b/>
                <w:kern w:val="0"/>
                <w:sz w:val="18"/>
                <w:szCs w:val="22"/>
                <w:lang w:val="sr-RS" w:eastAsia="en-US" w:bidi="ar-SA"/>
              </w:rPr>
              <w:t>Индиректни корисници буџетских средстава</w:t>
            </w:r>
          </w:p>
        </w:tc>
        <w:tc>
          <w:tcPr>
            <w:tcW w:w="1567" w:type="dxa"/>
            <w:gridSpan w:val="2"/>
            <w:tcBorders/>
            <w:shd w:color="auto" w:fill="auto" w:val="clear"/>
          </w:tcPr>
          <w:p>
            <w:pPr>
              <w:pStyle w:val="Normal"/>
              <w:widowControl w:val="false"/>
              <w:suppressAutoHyphens w:val="true"/>
              <w:spacing w:lineRule="auto" w:line="240" w:before="0" w:after="0"/>
              <w:jc w:val="both"/>
              <w:rPr>
                <w:rFonts w:ascii="Tahoma" w:hAnsi="Tahoma" w:cs="Tahoma"/>
                <w:b/>
                <w:b/>
                <w:color w:val="FF0000"/>
                <w:sz w:val="18"/>
                <w:lang w:val="sr-RS"/>
              </w:rPr>
            </w:pPr>
            <w:r>
              <w:rPr>
                <w:rFonts w:cs="Tahoma" w:ascii="Tahoma" w:hAnsi="Tahoma"/>
                <w:b/>
                <w:color w:val="FF0000"/>
                <w:sz w:val="18"/>
                <w:lang w:val="sr-RS"/>
              </w:rPr>
            </w:r>
          </w:p>
        </w:tc>
      </w:tr>
      <w:tr>
        <w:trPr/>
        <w:tc>
          <w:tcPr>
            <w:tcW w:w="7513" w:type="dxa"/>
            <w:tcBorders/>
            <w:shd w:color="auto" w:fill="auto" w:val="clear"/>
          </w:tcPr>
          <w:p>
            <w:pPr>
              <w:pStyle w:val="Normal"/>
              <w:widowControl w:val="false"/>
              <w:suppressAutoHyphens w:val="true"/>
              <w:spacing w:lineRule="auto" w:line="240" w:before="0" w:after="0"/>
              <w:jc w:val="start"/>
              <w:rPr>
                <w:rFonts w:ascii="Tahoma" w:hAnsi="Tahoma" w:cs="Tahoma"/>
                <w:sz w:val="18"/>
                <w:lang w:val="sr-RS"/>
              </w:rPr>
            </w:pPr>
            <w:r>
              <w:rPr>
                <w:rFonts w:eastAsia="Times New Roman" w:cs="Tahoma" w:ascii="Tahoma" w:hAnsi="Tahoma"/>
                <w:kern w:val="0"/>
                <w:sz w:val="18"/>
                <w:szCs w:val="22"/>
                <w:lang w:val="sr-RS" w:eastAsia="en-US" w:bidi="ar-SA"/>
              </w:rPr>
              <w:t xml:space="preserve">1. </w:t>
            </w:r>
            <w:hyperlink r:id="rId20">
              <w:r>
                <w:rPr>
                  <w:rStyle w:val="InternetLink"/>
                  <w:rFonts w:eastAsia="Times New Roman" w:cs="Tahoma" w:ascii="Tahoma" w:hAnsi="Tahoma"/>
                  <w:kern w:val="0"/>
                  <w:sz w:val="18"/>
                  <w:szCs w:val="22"/>
                  <w:lang w:val="sr-RS" w:eastAsia="en-US" w:bidi="ar-SA"/>
                </w:rPr>
                <w:t>Предшколска установа „Љуба Станковић“ Беочин</w:t>
              </w:r>
            </w:hyperlink>
          </w:p>
        </w:tc>
        <w:tc>
          <w:tcPr>
            <w:tcW w:w="1567" w:type="dxa"/>
            <w:gridSpan w:val="2"/>
            <w:tcBorders/>
            <w:shd w:color="auto" w:fill="auto" w:val="clea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49</w:t>
            </w:r>
          </w:p>
        </w:tc>
      </w:tr>
      <w:tr>
        <w:trPr/>
        <w:tc>
          <w:tcPr>
            <w:tcW w:w="7520" w:type="dxa"/>
            <w:gridSpan w:val="2"/>
            <w:tcBorders/>
            <w:shd w:color="auto" w:fill="auto" w:val="clear"/>
          </w:tcPr>
          <w:p>
            <w:pPr>
              <w:pStyle w:val="Normal"/>
              <w:widowControl w:val="false"/>
              <w:suppressAutoHyphens w:val="true"/>
              <w:spacing w:lineRule="auto" w:line="240" w:before="0" w:after="0"/>
              <w:jc w:val="start"/>
              <w:rPr>
                <w:rFonts w:ascii="Tahoma" w:hAnsi="Tahoma" w:cs="Tahoma"/>
                <w:sz w:val="18"/>
                <w:lang w:val="sr-RS"/>
              </w:rPr>
            </w:pPr>
            <w:r>
              <w:rPr>
                <w:rFonts w:eastAsia="Times New Roman" w:cs="Tahoma" w:ascii="Tahoma" w:hAnsi="Tahoma"/>
                <w:kern w:val="0"/>
                <w:sz w:val="18"/>
                <w:szCs w:val="22"/>
                <w:lang w:val="sr-RS" w:eastAsia="en-US" w:bidi="ar-SA"/>
              </w:rPr>
              <w:t xml:space="preserve">2. </w:t>
            </w:r>
            <w:hyperlink r:id="rId21">
              <w:r>
                <w:rPr>
                  <w:rStyle w:val="InternetLink"/>
                  <w:rFonts w:eastAsia="Times New Roman" w:cs="Tahoma" w:ascii="Tahoma" w:hAnsi="Tahoma"/>
                  <w:kern w:val="0"/>
                  <w:sz w:val="18"/>
                  <w:szCs w:val="22"/>
                  <w:lang w:val="sr-RS" w:eastAsia="en-US" w:bidi="ar-SA"/>
                </w:rPr>
                <w:t>Културни центар општине Беочин</w:t>
              </w:r>
            </w:hyperlink>
          </w:p>
        </w:tc>
        <w:tc>
          <w:tcPr>
            <w:tcW w:w="1560" w:type="dxa"/>
            <w:tcBorders/>
            <w:shd w:color="auto" w:fill="auto" w:val="clea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16</w:t>
            </w:r>
          </w:p>
        </w:tc>
      </w:tr>
      <w:tr>
        <w:trPr/>
        <w:tc>
          <w:tcPr>
            <w:tcW w:w="7513" w:type="dxa"/>
            <w:tcBorders/>
            <w:shd w:color="auto" w:fill="auto" w:val="clear"/>
          </w:tcPr>
          <w:p>
            <w:pPr>
              <w:pStyle w:val="Normal"/>
              <w:widowControl w:val="false"/>
              <w:suppressAutoHyphens w:val="true"/>
              <w:spacing w:lineRule="auto" w:line="240" w:before="0" w:after="0"/>
              <w:jc w:val="start"/>
              <w:rPr>
                <w:rFonts w:ascii="Tahoma" w:hAnsi="Tahoma" w:cs="Tahoma"/>
                <w:sz w:val="18"/>
                <w:lang w:val="sr-RS"/>
              </w:rPr>
            </w:pPr>
            <w:r>
              <w:rPr>
                <w:rFonts w:eastAsia="Times New Roman" w:cs="Tahoma" w:ascii="Tahoma" w:hAnsi="Tahoma"/>
                <w:kern w:val="0"/>
                <w:sz w:val="18"/>
                <w:szCs w:val="22"/>
                <w:lang w:val="sr-RS" w:eastAsia="en-US" w:bidi="ar-SA"/>
              </w:rPr>
              <w:t xml:space="preserve">3. </w:t>
            </w:r>
            <w:hyperlink r:id="rId22">
              <w:r>
                <w:rPr>
                  <w:rStyle w:val="InternetLink"/>
                  <w:rFonts w:eastAsia="Times New Roman" w:cs="Tahoma" w:ascii="Tahoma" w:hAnsi="Tahoma"/>
                  <w:kern w:val="0"/>
                  <w:sz w:val="18"/>
                  <w:szCs w:val="22"/>
                  <w:lang w:val="sr-RS" w:eastAsia="en-US" w:bidi="ar-SA"/>
                </w:rPr>
                <w:t>Спортски центар општине Беочин</w:t>
              </w:r>
            </w:hyperlink>
          </w:p>
        </w:tc>
        <w:tc>
          <w:tcPr>
            <w:tcW w:w="1567" w:type="dxa"/>
            <w:gridSpan w:val="2"/>
            <w:tcBorders/>
            <w:shd w:color="auto" w:fill="auto" w:val="clea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11</w:t>
            </w:r>
          </w:p>
        </w:tc>
      </w:tr>
      <w:tr>
        <w:trPr/>
        <w:tc>
          <w:tcPr>
            <w:tcW w:w="7513" w:type="dxa"/>
            <w:tcBorders/>
            <w:shd w:color="auto" w:fill="auto" w:val="clear"/>
          </w:tcPr>
          <w:p>
            <w:pPr>
              <w:pStyle w:val="Normal"/>
              <w:widowControl w:val="false"/>
              <w:suppressAutoHyphens w:val="true"/>
              <w:spacing w:lineRule="auto" w:line="240" w:before="0" w:after="0"/>
              <w:jc w:val="start"/>
              <w:rPr>
                <w:rFonts w:ascii="Tahoma" w:hAnsi="Tahoma" w:cs="Tahoma"/>
                <w:sz w:val="18"/>
                <w:lang w:val="sr-RS"/>
              </w:rPr>
            </w:pPr>
            <w:r>
              <w:rPr>
                <w:rFonts w:eastAsia="Times New Roman" w:cs="Tahoma" w:ascii="Tahoma" w:hAnsi="Tahoma"/>
                <w:kern w:val="0"/>
                <w:sz w:val="18"/>
                <w:szCs w:val="22"/>
                <w:lang w:val="sr-RS" w:eastAsia="en-US" w:bidi="ar-SA"/>
              </w:rPr>
              <w:t xml:space="preserve">4. </w:t>
            </w:r>
            <w:hyperlink r:id="rId23">
              <w:r>
                <w:rPr>
                  <w:rStyle w:val="InternetLink"/>
                  <w:rFonts w:eastAsia="Times New Roman" w:cs="Tahoma" w:ascii="Tahoma" w:hAnsi="Tahoma"/>
                  <w:kern w:val="0"/>
                  <w:sz w:val="18"/>
                  <w:szCs w:val="22"/>
                  <w:lang w:val="sr-RS" w:eastAsia="en-US" w:bidi="ar-SA"/>
                </w:rPr>
                <w:t>Туристичка организација Беочин</w:t>
              </w:r>
            </w:hyperlink>
          </w:p>
        </w:tc>
        <w:tc>
          <w:tcPr>
            <w:tcW w:w="1567" w:type="dxa"/>
            <w:gridSpan w:val="2"/>
            <w:tcBorders/>
            <w:shd w:color="auto" w:fill="auto" w:val="clea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3</w:t>
            </w:r>
          </w:p>
        </w:tc>
      </w:tr>
      <w:tr>
        <w:trPr>
          <w:trHeight w:val="452" w:hRule="atLeast"/>
        </w:trPr>
        <w:tc>
          <w:tcPr>
            <w:tcW w:w="7513" w:type="dxa"/>
            <w:tcBorders/>
            <w:shd w:color="auto" w:fill="auto" w:val="clear"/>
          </w:tcPr>
          <w:p>
            <w:pPr>
              <w:pStyle w:val="Normal"/>
              <w:widowControl w:val="false"/>
              <w:suppressAutoHyphens w:val="true"/>
              <w:spacing w:lineRule="auto" w:line="240" w:before="0" w:after="0"/>
              <w:jc w:val="start"/>
              <w:rPr>
                <w:rFonts w:ascii="Tahoma" w:hAnsi="Tahoma" w:cs="Tahoma"/>
                <w:sz w:val="18"/>
                <w:lang w:val="sr-RS"/>
              </w:rPr>
            </w:pPr>
            <w:r>
              <w:rPr>
                <w:rFonts w:eastAsia="Times New Roman" w:cs="Tahoma" w:ascii="Tahoma" w:hAnsi="Tahoma"/>
                <w:kern w:val="0"/>
                <w:sz w:val="18"/>
                <w:szCs w:val="22"/>
                <w:lang w:val="sr-RS" w:eastAsia="en-US" w:bidi="ar-SA"/>
              </w:rPr>
              <w:t>5. Месне заједнице Беочин, Беочин град, Баноштор, Черевић, Бразилија, Раковац, Луг, Грабово, Сусек, Свилош</w:t>
            </w:r>
          </w:p>
        </w:tc>
        <w:tc>
          <w:tcPr>
            <w:tcW w:w="1567" w:type="dxa"/>
            <w:gridSpan w:val="2"/>
            <w:tcBorders/>
            <w:shd w:color="auto" w:fill="auto" w:val="clea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w:t>
            </w:r>
          </w:p>
        </w:tc>
      </w:tr>
      <w:tr>
        <w:trPr/>
        <w:tc>
          <w:tcPr>
            <w:tcW w:w="7513" w:type="dxa"/>
            <w:tcBorders/>
            <w:shd w:color="auto" w:fill="auto" w:val="clear"/>
            <w:vAlign w:val="center"/>
          </w:tcPr>
          <w:p>
            <w:pPr>
              <w:pStyle w:val="Normal"/>
              <w:widowControl w:val="false"/>
              <w:suppressAutoHyphens w:val="true"/>
              <w:spacing w:lineRule="auto" w:line="240" w:before="0" w:after="0"/>
              <w:jc w:val="both"/>
              <w:rPr>
                <w:rFonts w:ascii="Tahoma" w:hAnsi="Tahoma" w:cs="Tahoma"/>
                <w:b/>
                <w:b/>
                <w:sz w:val="18"/>
                <w:lang w:val="sr-RS"/>
              </w:rPr>
            </w:pPr>
            <w:r>
              <w:rPr>
                <w:rFonts w:eastAsia="Times New Roman" w:cs="Tahoma" w:ascii="Tahoma" w:hAnsi="Tahoma"/>
                <w:b/>
                <w:kern w:val="0"/>
                <w:sz w:val="18"/>
                <w:szCs w:val="22"/>
                <w:lang w:val="sr-RS" w:eastAsia="en-US" w:bidi="ar-SA"/>
              </w:rPr>
              <w:t>Јавна предузећа основана од стране општине</w:t>
            </w:r>
          </w:p>
        </w:tc>
        <w:tc>
          <w:tcPr>
            <w:tcW w:w="1567" w:type="dxa"/>
            <w:gridSpan w:val="2"/>
            <w:tcBorders/>
            <w:shd w:color="auto" w:fill="auto" w:val="clear"/>
            <w:vAlign w:val="center"/>
          </w:tcPr>
          <w:p>
            <w:pPr>
              <w:pStyle w:val="Normal"/>
              <w:widowControl w:val="false"/>
              <w:suppressAutoHyphens w:val="true"/>
              <w:spacing w:lineRule="auto" w:line="240" w:before="0" w:after="0"/>
              <w:jc w:val="both"/>
              <w:rPr>
                <w:rFonts w:ascii="Tahoma" w:hAnsi="Tahoma" w:cs="Tahoma"/>
                <w:b/>
                <w:b/>
                <w:sz w:val="18"/>
                <w:lang w:val="sr-RS"/>
              </w:rPr>
            </w:pPr>
            <w:r>
              <w:rPr>
                <w:rFonts w:cs="Tahoma" w:ascii="Tahoma" w:hAnsi="Tahoma"/>
                <w:b/>
                <w:sz w:val="18"/>
                <w:lang w:val="sr-RS"/>
              </w:rPr>
            </w:r>
          </w:p>
        </w:tc>
      </w:tr>
      <w:tr>
        <w:trPr/>
        <w:tc>
          <w:tcPr>
            <w:tcW w:w="7513" w:type="dxa"/>
            <w:tcBorders/>
            <w:shd w:color="auto" w:fill="auto" w:val="clear"/>
            <w:vAlign w:val="center"/>
          </w:tcPr>
          <w:p>
            <w:pPr>
              <w:pStyle w:val="ListParagraph"/>
              <w:widowControl w:val="false"/>
              <w:numPr>
                <w:ilvl w:val="0"/>
                <w:numId w:val="10"/>
              </w:numPr>
              <w:suppressAutoHyphens w:val="true"/>
              <w:spacing w:lineRule="auto" w:line="240" w:before="0" w:after="0"/>
              <w:contextualSpacing/>
              <w:jc w:val="both"/>
              <w:rPr>
                <w:rFonts w:ascii="Tahoma" w:hAnsi="Tahoma" w:cs="Tahoma"/>
                <w:bCs/>
                <w:sz w:val="18"/>
                <w:lang w:val="sr-RS"/>
              </w:rPr>
            </w:pPr>
            <w:hyperlink r:id="rId24">
              <w:r>
                <w:rPr>
                  <w:rStyle w:val="InternetLink"/>
                  <w:rFonts w:eastAsia="Times New Roman" w:cs="Tahoma" w:ascii="Tahoma" w:hAnsi="Tahoma"/>
                  <w:bCs/>
                  <w:kern w:val="0"/>
                  <w:sz w:val="18"/>
                  <w:szCs w:val="22"/>
                  <w:lang w:val="sr-RS" w:eastAsia="en-US" w:bidi="ar-SA"/>
                </w:rPr>
                <w:t>ЈКП Беочин</w:t>
              </w:r>
            </w:hyperlink>
          </w:p>
        </w:tc>
        <w:tc>
          <w:tcPr>
            <w:tcW w:w="1567" w:type="dxa"/>
            <w:gridSpan w:val="2"/>
            <w:tcBorders/>
            <w:shd w:color="auto" w:fill="auto" w:val="clear"/>
            <w:vAlign w:val="center"/>
          </w:tcPr>
          <w:p>
            <w:pPr>
              <w:pStyle w:val="Normal"/>
              <w:widowControl w:val="false"/>
              <w:suppressAutoHyphens w:val="true"/>
              <w:spacing w:lineRule="auto" w:line="240" w:before="0" w:after="0"/>
              <w:jc w:val="center"/>
              <w:rPr>
                <w:rFonts w:ascii="Tahoma" w:hAnsi="Tahoma" w:cs="Tahoma"/>
                <w:bCs/>
                <w:sz w:val="18"/>
                <w:lang w:val="sr-RS"/>
              </w:rPr>
            </w:pPr>
            <w:r>
              <w:rPr>
                <w:rFonts w:eastAsia="Times New Roman" w:cs="Tahoma" w:ascii="Tahoma" w:hAnsi="Tahoma"/>
                <w:bCs/>
                <w:kern w:val="0"/>
                <w:sz w:val="18"/>
                <w:szCs w:val="22"/>
                <w:lang w:val="sr-RS" w:eastAsia="en-US" w:bidi="ar-SA"/>
              </w:rPr>
              <w:t>72</w:t>
            </w:r>
          </w:p>
        </w:tc>
      </w:tr>
      <w:tr>
        <w:trPr/>
        <w:tc>
          <w:tcPr>
            <w:tcW w:w="7513" w:type="dxa"/>
            <w:tcBorders/>
            <w:shd w:color="auto" w:fill="auto" w:val="clear"/>
            <w:vAlign w:val="center"/>
          </w:tcPr>
          <w:p>
            <w:pPr>
              <w:pStyle w:val="ListParagraph"/>
              <w:widowControl w:val="false"/>
              <w:numPr>
                <w:ilvl w:val="0"/>
                <w:numId w:val="10"/>
              </w:numPr>
              <w:suppressAutoHyphens w:val="true"/>
              <w:spacing w:lineRule="auto" w:line="240" w:before="0" w:after="0"/>
              <w:contextualSpacing/>
              <w:jc w:val="both"/>
              <w:rPr>
                <w:rFonts w:ascii="Tahoma" w:hAnsi="Tahoma" w:cs="Tahoma"/>
                <w:bCs/>
                <w:sz w:val="18"/>
                <w:lang w:val="sr-RS"/>
              </w:rPr>
            </w:pPr>
            <w:hyperlink r:id="rId25">
              <w:r>
                <w:rPr>
                  <w:rStyle w:val="InternetLink"/>
                  <w:rFonts w:eastAsia="Times New Roman" w:cs="Tahoma" w:ascii="Tahoma" w:hAnsi="Tahoma"/>
                  <w:bCs/>
                  <w:kern w:val="0"/>
                  <w:sz w:val="18"/>
                  <w:szCs w:val="22"/>
                  <w:lang w:val="sr-RS" w:eastAsia="en-US" w:bidi="ar-SA"/>
                </w:rPr>
                <w:t>ЈП Топлана Беочин</w:t>
              </w:r>
            </w:hyperlink>
          </w:p>
        </w:tc>
        <w:tc>
          <w:tcPr>
            <w:tcW w:w="1567" w:type="dxa"/>
            <w:gridSpan w:val="2"/>
            <w:tcBorders/>
            <w:shd w:color="auto" w:fill="auto" w:val="clear"/>
            <w:vAlign w:val="center"/>
          </w:tcPr>
          <w:p>
            <w:pPr>
              <w:pStyle w:val="Normal"/>
              <w:widowControl w:val="false"/>
              <w:suppressAutoHyphens w:val="true"/>
              <w:spacing w:lineRule="auto" w:line="240" w:before="0" w:after="0"/>
              <w:jc w:val="center"/>
              <w:rPr>
                <w:rFonts w:ascii="Tahoma" w:hAnsi="Tahoma" w:cs="Tahoma"/>
                <w:bCs/>
                <w:sz w:val="18"/>
                <w:lang w:val="sr-RS"/>
              </w:rPr>
            </w:pPr>
            <w:r>
              <w:rPr>
                <w:rFonts w:eastAsia="Times New Roman" w:cs="Tahoma" w:ascii="Tahoma" w:hAnsi="Tahoma"/>
                <w:bCs/>
                <w:kern w:val="0"/>
                <w:sz w:val="18"/>
                <w:szCs w:val="22"/>
                <w:lang w:val="sr-RS" w:eastAsia="en-US" w:bidi="ar-SA"/>
              </w:rPr>
              <w:t>13</w:t>
            </w:r>
          </w:p>
        </w:tc>
      </w:tr>
      <w:tr>
        <w:trPr/>
        <w:tc>
          <w:tcPr>
            <w:tcW w:w="7513" w:type="dxa"/>
            <w:tcBorders/>
            <w:shd w:color="auto" w:fill="auto" w:val="clear"/>
            <w:vAlign w:val="center"/>
          </w:tcPr>
          <w:p>
            <w:pPr>
              <w:pStyle w:val="Normal"/>
              <w:widowControl w:val="false"/>
              <w:suppressAutoHyphens w:val="true"/>
              <w:spacing w:lineRule="auto" w:line="240" w:before="0" w:after="0"/>
              <w:jc w:val="both"/>
              <w:rPr>
                <w:rFonts w:ascii="Tahoma" w:hAnsi="Tahoma" w:cs="Tahoma"/>
                <w:b/>
                <w:b/>
                <w:sz w:val="18"/>
                <w:lang w:val="sr-RS"/>
              </w:rPr>
            </w:pPr>
            <w:r>
              <w:rPr>
                <w:rFonts w:eastAsia="Times New Roman" w:cs="Tahoma" w:ascii="Tahoma" w:hAnsi="Tahoma"/>
                <w:b/>
                <w:kern w:val="0"/>
                <w:sz w:val="18"/>
                <w:szCs w:val="22"/>
                <w:lang w:val="sr-RS" w:eastAsia="en-US" w:bidi="ar-SA"/>
              </w:rPr>
              <w:t>Остали корисници јавних средстава</w:t>
            </w:r>
          </w:p>
        </w:tc>
        <w:tc>
          <w:tcPr>
            <w:tcW w:w="1567" w:type="dxa"/>
            <w:gridSpan w:val="2"/>
            <w:tcBorders/>
            <w:shd w:color="auto" w:fill="auto" w:val="clear"/>
            <w:vAlign w:val="center"/>
          </w:tcPr>
          <w:p>
            <w:pPr>
              <w:pStyle w:val="Normal"/>
              <w:widowControl w:val="false"/>
              <w:suppressAutoHyphens w:val="true"/>
              <w:spacing w:lineRule="auto" w:line="240" w:before="0" w:after="0"/>
              <w:jc w:val="both"/>
              <w:rPr>
                <w:rFonts w:ascii="Tahoma" w:hAnsi="Tahoma" w:cs="Tahoma"/>
                <w:b/>
                <w:b/>
                <w:sz w:val="18"/>
                <w:lang w:val="sr-RS"/>
              </w:rPr>
            </w:pPr>
            <w:r>
              <w:rPr>
                <w:rFonts w:cs="Tahoma" w:ascii="Tahoma" w:hAnsi="Tahoma"/>
                <w:b/>
                <w:sz w:val="18"/>
                <w:lang w:val="sr-RS"/>
              </w:rPr>
            </w:r>
          </w:p>
        </w:tc>
      </w:tr>
      <w:tr>
        <w:trPr/>
        <w:tc>
          <w:tcPr>
            <w:tcW w:w="7513" w:type="dxa"/>
            <w:tcBorders/>
            <w:shd w:color="auto" w:fill="auto" w:val="clear"/>
          </w:tcPr>
          <w:p>
            <w:pPr>
              <w:pStyle w:val="Normal"/>
              <w:widowControl w:val="false"/>
              <w:suppressAutoHyphens w:val="true"/>
              <w:spacing w:lineRule="auto" w:line="240" w:before="0" w:after="0"/>
              <w:ind w:start="360" w:hanging="0"/>
              <w:jc w:val="both"/>
              <w:rPr>
                <w:rFonts w:ascii="Tahoma" w:hAnsi="Tahoma" w:cs="Tahoma"/>
                <w:sz w:val="18"/>
                <w:lang w:val="sr-RS"/>
              </w:rPr>
            </w:pPr>
            <w:r>
              <w:rPr>
                <w:rFonts w:eastAsia="Times New Roman" w:cs="Tahoma" w:ascii="Tahoma" w:hAnsi="Tahoma"/>
                <w:kern w:val="0"/>
                <w:sz w:val="18"/>
                <w:szCs w:val="22"/>
                <w:lang w:val="sr-RS" w:eastAsia="en-US" w:bidi="ar-SA"/>
              </w:rPr>
              <w:t>1</w:t>
            </w:r>
            <w:hyperlink r:id="rId26">
              <w:r>
                <w:rPr>
                  <w:rStyle w:val="InternetLink"/>
                  <w:rFonts w:eastAsia="Times New Roman" w:cs="Tahoma" w:ascii="Tahoma" w:hAnsi="Tahoma"/>
                  <w:kern w:val="0"/>
                  <w:sz w:val="18"/>
                  <w:szCs w:val="22"/>
                  <w:lang w:val="sr-RS" w:eastAsia="en-US" w:bidi="ar-SA"/>
                </w:rPr>
                <w:t>. ОШ Јован Грчић Миленко</w:t>
              </w:r>
            </w:hyperlink>
          </w:p>
        </w:tc>
        <w:tc>
          <w:tcPr>
            <w:tcW w:w="1567" w:type="dxa"/>
            <w:gridSpan w:val="2"/>
            <w:tcBorders/>
            <w:shd w:color="auto" w:fill="auto" w:val="clear"/>
            <w:vAlign w:val="cente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100</w:t>
            </w:r>
          </w:p>
        </w:tc>
      </w:tr>
      <w:tr>
        <w:trPr/>
        <w:tc>
          <w:tcPr>
            <w:tcW w:w="7513" w:type="dxa"/>
            <w:tcBorders/>
            <w:shd w:color="auto" w:fill="auto" w:val="clear"/>
          </w:tcPr>
          <w:p>
            <w:pPr>
              <w:pStyle w:val="Normal"/>
              <w:widowControl w:val="false"/>
              <w:suppressAutoHyphens w:val="true"/>
              <w:spacing w:lineRule="auto" w:line="240" w:before="0" w:after="0"/>
              <w:ind w:start="360" w:hanging="0"/>
              <w:jc w:val="both"/>
              <w:rPr>
                <w:rFonts w:ascii="Tahoma" w:hAnsi="Tahoma" w:cs="Tahoma"/>
                <w:sz w:val="18"/>
                <w:lang w:val="sr-RS"/>
              </w:rPr>
            </w:pPr>
            <w:r>
              <w:rPr>
                <w:rFonts w:eastAsia="Times New Roman" w:cs="Tahoma" w:ascii="Tahoma" w:hAnsi="Tahoma"/>
                <w:kern w:val="0"/>
                <w:sz w:val="18"/>
                <w:szCs w:val="22"/>
                <w:lang w:val="sr-RS" w:eastAsia="en-US" w:bidi="ar-SA"/>
              </w:rPr>
              <w:t xml:space="preserve">2. </w:t>
            </w:r>
            <w:hyperlink r:id="rId27">
              <w:r>
                <w:rPr>
                  <w:rStyle w:val="InternetLink"/>
                  <w:rFonts w:eastAsia="Times New Roman" w:cs="Tahoma" w:ascii="Tahoma" w:hAnsi="Tahoma"/>
                  <w:kern w:val="0"/>
                  <w:sz w:val="18"/>
                  <w:szCs w:val="22"/>
                  <w:lang w:val="sr-RS" w:eastAsia="en-US" w:bidi="ar-SA"/>
                </w:rPr>
                <w:t>ОШ Јован Поповић</w:t>
              </w:r>
            </w:hyperlink>
          </w:p>
        </w:tc>
        <w:tc>
          <w:tcPr>
            <w:tcW w:w="1567" w:type="dxa"/>
            <w:gridSpan w:val="2"/>
            <w:tcBorders/>
            <w:shd w:color="auto" w:fill="auto" w:val="clear"/>
            <w:vAlign w:val="cente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34</w:t>
            </w:r>
          </w:p>
        </w:tc>
      </w:tr>
      <w:tr>
        <w:trPr/>
        <w:tc>
          <w:tcPr>
            <w:tcW w:w="7513" w:type="dxa"/>
            <w:tcBorders/>
            <w:shd w:color="auto" w:fill="auto" w:val="clear"/>
          </w:tcPr>
          <w:p>
            <w:pPr>
              <w:pStyle w:val="Normal"/>
              <w:widowControl w:val="false"/>
              <w:suppressAutoHyphens w:val="true"/>
              <w:spacing w:lineRule="auto" w:line="240" w:before="0" w:after="0"/>
              <w:ind w:start="360" w:hanging="0"/>
              <w:jc w:val="both"/>
              <w:rPr>
                <w:rFonts w:ascii="Tahoma" w:hAnsi="Tahoma" w:cs="Tahoma"/>
                <w:sz w:val="18"/>
                <w:lang w:val="sr-RS"/>
              </w:rPr>
            </w:pPr>
            <w:r>
              <w:rPr>
                <w:rFonts w:eastAsia="Times New Roman" w:cs="Tahoma" w:ascii="Tahoma" w:hAnsi="Tahoma"/>
                <w:kern w:val="0"/>
                <w:sz w:val="18"/>
                <w:szCs w:val="22"/>
                <w:lang w:val="sr-RS" w:eastAsia="en-US" w:bidi="ar-SA"/>
              </w:rPr>
              <w:t xml:space="preserve">3. </w:t>
            </w:r>
            <w:hyperlink r:id="rId28">
              <w:r>
                <w:rPr>
                  <w:rStyle w:val="InternetLink"/>
                  <w:rFonts w:eastAsia="Times New Roman" w:cs="Tahoma" w:ascii="Tahoma" w:hAnsi="Tahoma"/>
                  <w:kern w:val="0"/>
                  <w:sz w:val="18"/>
                  <w:szCs w:val="22"/>
                  <w:lang w:val="sr-RS" w:eastAsia="en-US" w:bidi="ar-SA"/>
                </w:rPr>
                <w:t>Центар за социјални рад</w:t>
              </w:r>
            </w:hyperlink>
          </w:p>
        </w:tc>
        <w:tc>
          <w:tcPr>
            <w:tcW w:w="1567" w:type="dxa"/>
            <w:gridSpan w:val="2"/>
            <w:tcBorders/>
            <w:shd w:color="auto" w:fill="auto" w:val="clear"/>
            <w:vAlign w:val="center"/>
          </w:tcPr>
          <w:p>
            <w:pPr>
              <w:pStyle w:val="Normal"/>
              <w:widowControl w:val="false"/>
              <w:suppressAutoHyphens w:val="true"/>
              <w:spacing w:lineRule="auto" w:line="240" w:before="0" w:after="0"/>
              <w:jc w:val="both"/>
              <w:rPr>
                <w:rFonts w:ascii="Tahoma" w:hAnsi="Tahoma" w:cs="Tahoma"/>
                <w:sz w:val="18"/>
                <w:lang w:val="sr-RS"/>
              </w:rPr>
            </w:pPr>
            <w:r>
              <w:rPr>
                <w:rFonts w:eastAsia="Times New Roman" w:cs="Tahoma" w:ascii="Tahoma" w:hAnsi="Tahoma"/>
                <w:kern w:val="0"/>
                <w:sz w:val="18"/>
                <w:szCs w:val="22"/>
                <w:lang w:val="sr-RS" w:eastAsia="en-US" w:bidi="ar-SA"/>
              </w:rPr>
              <w:t xml:space="preserve">           </w:t>
            </w:r>
            <w:r>
              <w:rPr>
                <w:rFonts w:eastAsia="Times New Roman" w:cs="Tahoma" w:ascii="Tahoma" w:hAnsi="Tahoma"/>
                <w:kern w:val="0"/>
                <w:sz w:val="18"/>
                <w:szCs w:val="22"/>
                <w:lang w:val="sr-RS" w:eastAsia="en-US" w:bidi="ar-SA"/>
              </w:rPr>
              <w:t>8</w:t>
            </w:r>
          </w:p>
        </w:tc>
      </w:tr>
      <w:tr>
        <w:trPr/>
        <w:tc>
          <w:tcPr>
            <w:tcW w:w="7513" w:type="dxa"/>
            <w:tcBorders/>
            <w:shd w:color="auto" w:fill="auto" w:val="clear"/>
          </w:tcPr>
          <w:p>
            <w:pPr>
              <w:pStyle w:val="Normal"/>
              <w:widowControl w:val="false"/>
              <w:suppressAutoHyphens w:val="true"/>
              <w:spacing w:lineRule="auto" w:line="240" w:before="0" w:after="0"/>
              <w:ind w:start="360" w:hanging="0"/>
              <w:jc w:val="both"/>
              <w:rPr>
                <w:rFonts w:ascii="Tahoma" w:hAnsi="Tahoma" w:cs="Tahoma"/>
                <w:sz w:val="18"/>
                <w:lang w:val="sr-RS"/>
              </w:rPr>
            </w:pPr>
            <w:r>
              <w:rPr>
                <w:rFonts w:eastAsia="Times New Roman" w:cs="Tahoma" w:ascii="Tahoma" w:hAnsi="Tahoma"/>
                <w:kern w:val="0"/>
                <w:sz w:val="18"/>
                <w:szCs w:val="22"/>
                <w:lang w:val="sr-RS" w:eastAsia="en-US" w:bidi="ar-SA"/>
              </w:rPr>
              <w:t xml:space="preserve">4. </w:t>
            </w:r>
            <w:hyperlink r:id="rId29">
              <w:r>
                <w:rPr>
                  <w:rStyle w:val="InternetLink"/>
                  <w:rFonts w:eastAsia="Times New Roman" w:cs="Tahoma" w:ascii="Tahoma" w:hAnsi="Tahoma"/>
                  <w:kern w:val="0"/>
                  <w:sz w:val="18"/>
                  <w:szCs w:val="22"/>
                  <w:lang w:val="sr-RS" w:eastAsia="en-US" w:bidi="ar-SA"/>
                </w:rPr>
                <w:t>Црвени крст</w:t>
              </w:r>
            </w:hyperlink>
          </w:p>
        </w:tc>
        <w:tc>
          <w:tcPr>
            <w:tcW w:w="1567" w:type="dxa"/>
            <w:gridSpan w:val="2"/>
            <w:tcBorders/>
            <w:shd w:color="auto" w:fill="auto" w:val="clear"/>
            <w:vAlign w:val="cente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w:t>
            </w:r>
          </w:p>
        </w:tc>
      </w:tr>
      <w:tr>
        <w:trPr/>
        <w:tc>
          <w:tcPr>
            <w:tcW w:w="7513" w:type="dxa"/>
            <w:tcBorders/>
            <w:shd w:color="auto" w:fill="auto" w:val="clear"/>
          </w:tcPr>
          <w:p>
            <w:pPr>
              <w:pStyle w:val="Normal"/>
              <w:widowControl w:val="false"/>
              <w:suppressAutoHyphens w:val="true"/>
              <w:spacing w:lineRule="auto" w:line="240" w:before="0" w:after="0"/>
              <w:ind w:start="360" w:hanging="0"/>
              <w:jc w:val="both"/>
              <w:rPr>
                <w:rFonts w:ascii="Tahoma" w:hAnsi="Tahoma" w:cs="Tahoma"/>
                <w:sz w:val="18"/>
                <w:lang w:val="sr-RS"/>
              </w:rPr>
            </w:pPr>
            <w:r>
              <w:rPr>
                <w:rFonts w:eastAsia="Times New Roman" w:cs="Tahoma" w:ascii="Tahoma" w:hAnsi="Tahoma"/>
                <w:kern w:val="0"/>
                <w:sz w:val="18"/>
                <w:szCs w:val="22"/>
                <w:lang w:val="sr-RS" w:eastAsia="en-US" w:bidi="ar-SA"/>
              </w:rPr>
              <w:t xml:space="preserve">5. </w:t>
            </w:r>
            <w:hyperlink r:id="rId30">
              <w:r>
                <w:rPr>
                  <w:rStyle w:val="InternetLink"/>
                  <w:rFonts w:eastAsia="Times New Roman" w:cs="Tahoma" w:ascii="Tahoma" w:hAnsi="Tahoma"/>
                  <w:kern w:val="0"/>
                  <w:sz w:val="18"/>
                  <w:szCs w:val="22"/>
                  <w:lang w:val="sr-RS" w:eastAsia="en-US" w:bidi="ar-SA"/>
                </w:rPr>
                <w:t>Дом здравља Душан Савић Дода Беочин</w:t>
              </w:r>
            </w:hyperlink>
          </w:p>
        </w:tc>
        <w:tc>
          <w:tcPr>
            <w:tcW w:w="1567" w:type="dxa"/>
            <w:gridSpan w:val="2"/>
            <w:tcBorders/>
            <w:shd w:color="auto" w:fill="auto" w:val="clear"/>
            <w:vAlign w:val="center"/>
          </w:tcPr>
          <w:p>
            <w:pPr>
              <w:pStyle w:val="Normal"/>
              <w:widowControl w:val="false"/>
              <w:suppressAutoHyphens w:val="true"/>
              <w:spacing w:lineRule="auto" w:line="240" w:before="0" w:after="0"/>
              <w:jc w:val="center"/>
              <w:rPr>
                <w:rFonts w:ascii="Tahoma" w:hAnsi="Tahoma" w:cs="Tahoma"/>
                <w:sz w:val="18"/>
                <w:lang w:val="sr-RS"/>
              </w:rPr>
            </w:pPr>
            <w:r>
              <w:rPr>
                <w:rFonts w:eastAsia="Times New Roman" w:cs="Tahoma" w:ascii="Tahoma" w:hAnsi="Tahoma"/>
                <w:kern w:val="0"/>
                <w:sz w:val="18"/>
                <w:szCs w:val="22"/>
                <w:lang w:val="sr-RS" w:eastAsia="en-US" w:bidi="ar-SA"/>
              </w:rPr>
              <w:t>86</w:t>
            </w:r>
          </w:p>
        </w:tc>
      </w:tr>
    </w:tbl>
    <w:p>
      <w:pPr>
        <w:pStyle w:val="Normal"/>
        <w:spacing w:lineRule="auto" w:line="240" w:before="0" w:after="0"/>
        <w:jc w:val="end"/>
        <w:rPr>
          <w:rFonts w:ascii="DejaVu Sans" w:hAnsi="DejaVu Sans" w:cs="DejaVu Sans" w:asciiTheme="majorBidi" w:cstheme="majorBidi" w:hAnsiTheme="majorBidi"/>
          <w:i/>
          <w:i/>
          <w:color w:val="1F4E79" w:themeColor="accent5" w:themeShade="80"/>
          <w:sz w:val="24"/>
          <w:szCs w:val="24"/>
        </w:rPr>
      </w:pPr>
      <w:r>
        <w:rPr>
          <w:rFonts w:cs="Tahoma" w:ascii="Tahoma" w:hAnsi="Tahoma"/>
          <w:i/>
          <w:color w:val="1F4E79" w:themeColor="accent5" w:themeShade="80"/>
          <w:sz w:val="18"/>
          <w:lang w:val="sr-RS"/>
        </w:rPr>
        <w:t>Извор: Средњорочни план Општине Беочин 2023-2025</w:t>
      </w:r>
    </w:p>
    <w:p>
      <w:pPr>
        <w:pStyle w:val="Normal"/>
        <w:rPr/>
      </w:pPr>
      <w:r>
        <w:rPr/>
      </w:r>
    </w:p>
    <w:p>
      <w:pPr>
        <w:pStyle w:val="Heading2"/>
        <w:jc w:val="both"/>
        <w:rPr>
          <w:rFonts w:ascii="Tahoma" w:hAnsi="Tahoma" w:cs="Tahoma"/>
          <w:sz w:val="28"/>
          <w:szCs w:val="28"/>
          <w:lang w:val="sr-RS"/>
        </w:rPr>
      </w:pPr>
      <w:bookmarkStart w:id="44" w:name="_Toc188459121"/>
      <w:bookmarkStart w:id="45" w:name="_Toc188876965"/>
      <w:r>
        <w:rPr>
          <w:rFonts w:cs="Tahoma" w:ascii="Tahoma" w:hAnsi="Tahoma"/>
          <w:sz w:val="28"/>
          <w:szCs w:val="28"/>
          <w:lang w:val="sr-RS"/>
        </w:rPr>
        <w:t>Прилог 4 - Резултати спроведених консултација и јавне расправе</w:t>
      </w:r>
      <w:bookmarkEnd w:id="44"/>
      <w:bookmarkEnd w:id="45"/>
    </w:p>
    <w:p>
      <w:pPr>
        <w:pStyle w:val="Normal"/>
        <w:rPr>
          <w:lang w:val="sr-RS"/>
        </w:rPr>
      </w:pPr>
      <w:r>
        <w:rPr>
          <w:lang w:val="sr-RS"/>
        </w:rPr>
      </w:r>
    </w:p>
    <w:tbl>
      <w:tblPr>
        <w:tblStyle w:val="TableGrid"/>
        <w:tblW w:w="9350" w:type="dxa"/>
        <w:jc w:val="center"/>
        <w:tblInd w:w="0" w:type="dxa"/>
        <w:tblLayout w:type="fixed"/>
        <w:tblCellMar>
          <w:top w:w="0" w:type="dxa"/>
          <w:start w:w="108" w:type="dxa"/>
          <w:bottom w:w="0" w:type="dxa"/>
          <w:end w:w="108" w:type="dxa"/>
        </w:tblCellMar>
        <w:tblLook w:firstRow="1" w:noVBand="1" w:lastRow="0" w:firstColumn="1" w:lastColumn="0" w:noHBand="0" w:val="04a0"/>
      </w:tblPr>
      <w:tblGrid>
        <w:gridCol w:w="3538"/>
        <w:gridCol w:w="5811"/>
      </w:tblGrid>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Назив документа</w:t>
            </w:r>
          </w:p>
        </w:tc>
        <w:tc>
          <w:tcPr>
            <w:tcW w:w="5811"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Програм унапређења социјалне  заштите општине Беочин за период од 2025. до 2030. године</w:t>
            </w:r>
          </w:p>
        </w:tc>
      </w:tr>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Предлагач</w:t>
            </w:r>
          </w:p>
        </w:tc>
        <w:tc>
          <w:tcPr>
            <w:tcW w:w="5811"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Општина Беочин</w:t>
            </w:r>
          </w:p>
        </w:tc>
      </w:tr>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Период спровођења консултација</w:t>
            </w:r>
          </w:p>
        </w:tc>
        <w:tc>
          <w:tcPr>
            <w:tcW w:w="5811"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01.10.2024. – 24.01.2025.</w:t>
            </w:r>
          </w:p>
        </w:tc>
      </w:tr>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Циљеви спровођења консултација</w:t>
            </w:r>
          </w:p>
        </w:tc>
        <w:tc>
          <w:tcPr>
            <w:tcW w:w="5811"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Прикупити мишљење чланова радне групе за израду Програма унапређења, представника организација и институција из општине Беочин о свим битним деловима Програма унапређења социјалне заштите – кључне информације проистекле из анализе стања, израда SWOT матрице, дефинисање циљева, мера и активности, буџетирање у оквиру Акционог плана.</w:t>
            </w:r>
          </w:p>
        </w:tc>
      </w:tr>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Методи спровођења консултација</w:t>
            </w:r>
          </w:p>
        </w:tc>
        <w:tc>
          <w:tcPr>
            <w:tcW w:w="5811"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Радионице и онлајн консултације</w:t>
            </w:r>
          </w:p>
        </w:tc>
      </w:tr>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Достављање писаних коментара (навести рок)</w:t>
            </w:r>
          </w:p>
        </w:tc>
        <w:tc>
          <w:tcPr>
            <w:tcW w:w="5811"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До 24.01.2024.</w:t>
            </w:r>
          </w:p>
        </w:tc>
      </w:tr>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Други методи спровођења консултација (навести методе, време и место одржавања)</w:t>
            </w:r>
          </w:p>
        </w:tc>
        <w:tc>
          <w:tcPr>
            <w:tcW w:w="5811"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Потребно је нагласити да је у процесу припреме за израду Програма унапређења социјалне заштите у периоду мај-јуни 2024. године спроведено мапирање потреба корисника и потенцијалних корисника права и услуга социјалне заштите којим је обухваћен0</w:t>
            </w:r>
            <w:r>
              <w:rPr>
                <w:rFonts w:eastAsia="Calibri" w:cs="Tahoma" w:ascii="Tahoma" w:hAnsi="Tahoma"/>
                <w:kern w:val="2"/>
                <w:sz w:val="20"/>
                <w:szCs w:val="22"/>
                <w:lang w:val="sr-Latn-RS" w:eastAsia="en-US" w:bidi="ar-SA"/>
              </w:rPr>
              <w:t xml:space="preserve"> 274 </w:t>
            </w:r>
            <w:r>
              <w:rPr>
                <w:rFonts w:eastAsia="Calibri" w:cs="Tahoma" w:ascii="Tahoma" w:hAnsi="Tahoma"/>
                <w:kern w:val="2"/>
                <w:sz w:val="20"/>
                <w:szCs w:val="22"/>
                <w:lang w:val="sr-RS" w:eastAsia="en-US" w:bidi="ar-SA"/>
              </w:rPr>
              <w:t>грађана што је скоро 2% укупног броја становника у општини. Испитани грађани су дали своје мишљење о стању и потребама у области социјалне заштите кроз анкету са грађанима, анкету са корисницима система социјалне заштите, фокус  групе са стручном јавношћу и корисницима социјалне заштите.</w:t>
            </w:r>
          </w:p>
        </w:tc>
      </w:tr>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Циљне групе и друге заинтересоване стране које су учествовале у консултацијама (навести за сваки метод консултација посебно)</w:t>
            </w:r>
          </w:p>
        </w:tc>
        <w:tc>
          <w:tcPr>
            <w:tcW w:w="5811"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Одржане су две радионице на којима су представљени резултати мапирања са препорукама за садржај програма унапређења социјалне заштите. Њихови коментари унети су у извештај о мапирању укључујући и препоруке за садржај Програма:</w:t>
            </w:r>
          </w:p>
          <w:p>
            <w:pPr>
              <w:pStyle w:val="ListParagraph"/>
              <w:widowControl w:val="false"/>
              <w:numPr>
                <w:ilvl w:val="0"/>
                <w:numId w:val="14"/>
              </w:numPr>
              <w:tabs>
                <w:tab w:val="clear" w:pos="720"/>
                <w:tab w:val="center" w:pos="4680" w:leader="none"/>
                <w:tab w:val="right" w:pos="9360" w:leader="none"/>
              </w:tabs>
              <w:suppressAutoHyphens w:val="true"/>
              <w:spacing w:lineRule="auto" w:line="240" w:before="0" w:after="0"/>
              <w:contextualSpacing/>
              <w:jc w:val="start"/>
              <w:rPr>
                <w:rFonts w:ascii="Tahoma" w:hAnsi="Tahoma" w:cs="Tahoma"/>
                <w:sz w:val="20"/>
                <w:lang w:val="sr-RS"/>
              </w:rPr>
            </w:pPr>
            <w:r>
              <w:rPr>
                <w:rFonts w:eastAsia="Calibri" w:cs="Tahoma" w:ascii="Tahoma" w:hAnsi="Tahoma"/>
                <w:kern w:val="2"/>
                <w:sz w:val="20"/>
                <w:szCs w:val="22"/>
                <w:lang w:val="sr-RS" w:eastAsia="en-US" w:bidi="ar-SA"/>
              </w:rPr>
              <w:t>Дана 28. августа 2024. године одржана је радионица са члановима Тима за спровођење пакета подршке у оквиру пројекта Подршка одрживим услугама социјалне заштите у заједници и политикама укључивања на локалном нивоу. Учесници радионице су били представници локалних организација цивилног друштва, образовних, културних, спортских, здравствених институција.</w:t>
            </w:r>
          </w:p>
          <w:p>
            <w:pPr>
              <w:pStyle w:val="ListParagraph"/>
              <w:widowControl w:val="false"/>
              <w:numPr>
                <w:ilvl w:val="0"/>
                <w:numId w:val="14"/>
              </w:numPr>
              <w:tabs>
                <w:tab w:val="clear" w:pos="720"/>
                <w:tab w:val="center" w:pos="4680" w:leader="none"/>
                <w:tab w:val="right" w:pos="9360" w:leader="none"/>
              </w:tabs>
              <w:suppressAutoHyphens w:val="true"/>
              <w:spacing w:lineRule="auto" w:line="240" w:before="0" w:after="0"/>
              <w:contextualSpacing/>
              <w:jc w:val="start"/>
              <w:rPr>
                <w:rFonts w:ascii="Tahoma" w:hAnsi="Tahoma" w:cs="Tahoma"/>
                <w:sz w:val="20"/>
                <w:lang w:val="sr-RS"/>
              </w:rPr>
            </w:pPr>
            <w:r>
              <w:rPr>
                <w:rFonts w:eastAsia="Calibri" w:cs="Tahoma" w:ascii="Tahoma" w:hAnsi="Tahoma"/>
                <w:kern w:val="2"/>
                <w:sz w:val="20"/>
                <w:szCs w:val="22"/>
                <w:lang w:val="sr-RS" w:eastAsia="en-US" w:bidi="ar-SA"/>
              </w:rPr>
              <w:t>Дана 29. августа 2024.  одржан је састанак са руководством локалне самоуправе на којем је такође представљен извештај о резултатима мапирања.</w:t>
            </w:r>
          </w:p>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Поред тога, одржане су 3 радионице Радне групе: 30. септембра, 31. октобра и 29. новембра 2024. године, као и низ онлајн консултација на којима је дискутовано о садржају програма и пратећег Акционог плана, који су трајали до 24. јануара 2025. године.</w:t>
            </w:r>
          </w:p>
        </w:tc>
      </w:tr>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Да ли је спровођење консултација створило додатне буџетске трошкове (ако јесте, образложити)</w:t>
            </w:r>
          </w:p>
        </w:tc>
        <w:tc>
          <w:tcPr>
            <w:tcW w:w="5811"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Није било додатних буџетских трошкова. Процес израде Програма унапређења социјалне заштите финансиран је од стране Сталне конференције градова и општина у оквиру пројекта Подршка одрживим услугама социјалне заштите у заједници и политикама укључивања на локалном нивоу, те у том смислу Општина Беочин није имала додатних трошкова.</w:t>
            </w:r>
          </w:p>
        </w:tc>
      </w:tr>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Информације о достављеним коментарима (навести колико је коментара примљено, колико је прихваћено, а колико није)</w:t>
            </w:r>
          </w:p>
        </w:tc>
        <w:tc>
          <w:tcPr>
            <w:tcW w:w="5811"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Током процеса консултација упућено је више коментара од стране чланова Тима за спровођење пакета подршке и Радне групе за израду програма унапређења. Сви предлози су достављани непосредно током дискусија приликом одржавања радионица. Сви коментари су уважени.</w:t>
            </w:r>
          </w:p>
        </w:tc>
      </w:tr>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Анализа примљених коментара</w:t>
            </w:r>
          </w:p>
        </w:tc>
        <w:tc>
          <w:tcPr>
            <w:tcW w:w="5811"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На састанцима на којима су представљени резултати мапирања није било коментара.</w:t>
            </w:r>
          </w:p>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Кад су у питању консултације са институцијама укљученим у радну групу за израду програма унапређења, представници образовног система  су указали на потребу појачаног превентивног рада са децом и младима, што су подржали и подаци центра за социјални рад о повећаном броју деце са проблемима у понашању и сукобу са законом као и повећаном броју случајева вршњачког насиља.</w:t>
            </w:r>
          </w:p>
          <w:p>
            <w:pPr>
              <w:pStyle w:val="Normal"/>
              <w:widowControl w:val="false"/>
              <w:suppressAutoHyphens w:val="true"/>
              <w:spacing w:lineRule="auto" w:line="240" w:before="0" w:after="0"/>
              <w:jc w:val="both"/>
              <w:rPr>
                <w:rFonts w:ascii="Tahoma" w:hAnsi="Tahoma" w:cs="Tahoma"/>
                <w:sz w:val="20"/>
                <w:lang w:val="sr-RS"/>
              </w:rPr>
            </w:pPr>
            <w:r>
              <w:rPr>
                <w:rFonts w:cs="Tahoma" w:ascii="Tahoma" w:hAnsi="Tahoma"/>
                <w:sz w:val="20"/>
                <w:lang w:val="sr-RS"/>
              </w:rPr>
            </w:r>
          </w:p>
        </w:tc>
      </w:tr>
      <w:tr>
        <w:trPr/>
        <w:tc>
          <w:tcPr>
            <w:tcW w:w="3538" w:type="dxa"/>
            <w:tcBorders/>
          </w:tcPr>
          <w:p>
            <w:pPr>
              <w:pStyle w:val="Normal"/>
              <w:widowControl w:val="false"/>
              <w:suppressAutoHyphens w:val="true"/>
              <w:spacing w:lineRule="auto" w:line="240" w:before="0" w:after="0"/>
              <w:jc w:val="start"/>
              <w:rPr>
                <w:rFonts w:ascii="Tahoma" w:hAnsi="Tahoma" w:cs="Tahoma"/>
                <w:sz w:val="20"/>
                <w:lang w:val="sr-RS"/>
              </w:rPr>
            </w:pPr>
            <w:r>
              <w:rPr>
                <w:rFonts w:eastAsia="Calibri" w:cs="Tahoma" w:ascii="Tahoma" w:hAnsi="Tahoma"/>
                <w:kern w:val="2"/>
                <w:sz w:val="20"/>
                <w:szCs w:val="22"/>
                <w:lang w:val="sr-RS" w:eastAsia="en-US" w:bidi="ar-SA"/>
              </w:rPr>
              <w:t>РЕЗУЛТАТИ ДРУГИХ МЕТОДА КОНСУЛТАЦИЈА (навести за сваки метод консултација посебно)</w:t>
            </w:r>
          </w:p>
        </w:tc>
        <w:tc>
          <w:tcPr>
            <w:tcW w:w="5811" w:type="dxa"/>
            <w:tcBorders/>
          </w:tcPr>
          <w:p>
            <w:pPr>
              <w:pStyle w:val="Normal"/>
              <w:widowControl w:val="false"/>
              <w:suppressAutoHyphens w:val="true"/>
              <w:spacing w:lineRule="auto" w:line="240" w:before="0" w:after="0"/>
              <w:jc w:val="both"/>
              <w:rPr>
                <w:rFonts w:ascii="Tahoma" w:hAnsi="Tahoma" w:cs="Tahoma"/>
                <w:sz w:val="20"/>
                <w:lang w:val="sr-RS"/>
              </w:rPr>
            </w:pPr>
            <w:r>
              <w:rPr>
                <w:rFonts w:eastAsia="Calibri" w:cs="Tahoma" w:ascii="Tahoma" w:hAnsi="Tahoma"/>
                <w:kern w:val="2"/>
                <w:sz w:val="20"/>
                <w:szCs w:val="22"/>
                <w:lang w:val="sr-RS" w:eastAsia="en-US" w:bidi="ar-SA"/>
              </w:rPr>
              <w:t>Није их било</w:t>
            </w:r>
          </w:p>
        </w:tc>
      </w:tr>
    </w:tbl>
    <w:p>
      <w:pPr>
        <w:pStyle w:val="Normal"/>
        <w:spacing w:lineRule="auto" w:line="240"/>
        <w:jc w:val="both"/>
        <w:rPr>
          <w:rFonts w:ascii="Tahoma" w:hAnsi="Tahoma" w:cs="Tahoma"/>
          <w:sz w:val="20"/>
          <w:lang w:val="sr-RS"/>
        </w:rPr>
      </w:pPr>
      <w:r>
        <w:rPr>
          <w:rFonts w:cs="Tahoma" w:ascii="Tahoma" w:hAnsi="Tahoma"/>
          <w:sz w:val="20"/>
          <w:lang w:val="sr-RS"/>
        </w:rPr>
      </w:r>
    </w:p>
    <w:p>
      <w:pPr>
        <w:pStyle w:val="Normal"/>
        <w:spacing w:lineRule="auto" w:line="240"/>
        <w:jc w:val="both"/>
        <w:rPr>
          <w:rFonts w:ascii="Tahoma" w:hAnsi="Tahoma" w:cs="Tahoma"/>
          <w:sz w:val="20"/>
          <w:lang w:val="sr-RS"/>
        </w:rPr>
      </w:pPr>
      <w:r>
        <w:rPr>
          <w:rFonts w:cs="Tahoma" w:ascii="Tahoma" w:hAnsi="Tahoma"/>
          <w:sz w:val="20"/>
          <w:lang w:val="sr-RS"/>
        </w:rPr>
        <w:t>ЈАВНА РАСПРАВА: Чланом 36. Закона о планском систему је предвиђена обавеза надлежног предлагача да пре подношења на разматрање и усвајање ДЈП спроведе јавну расправу о том документу и да припреми извештај о спроведеној јавној расправи. У извештају се нарочито наводи које су заинтересоване стране и циљне групе учествовале у јавној расправи, које су сугестије изнете током јавне расправе, да ли су и на који начин те сугестије уграђене у предлог документа јавне политике и ако нису, из којих разлога то није учињено. Законом је предвиђено да се извештај о спроведеној јавној расправи прилаже уз предлог документа јавне политике. У наставку је структурирани образац који се може користити за извештавање о спроведеној јавној расправи. Образац може даље бити измењен у складу са специфичним потребама. Важно је да доносиоци одлука имају јасан увид у то о чему се дискутовало и кључне налазе анализе пристиглих коментара/предлога како би имали могућност да донесу одлуке на основу чињеница.</w:t>
      </w:r>
    </w:p>
    <w:tbl>
      <w:tblPr>
        <w:tblStyle w:val="TableGrid"/>
        <w:tblW w:w="9351" w:type="dxa"/>
        <w:jc w:val="center"/>
        <w:tblInd w:w="0" w:type="dxa"/>
        <w:tblLayout w:type="fixed"/>
        <w:tblCellMar>
          <w:top w:w="0" w:type="dxa"/>
          <w:start w:w="108" w:type="dxa"/>
          <w:bottom w:w="0" w:type="dxa"/>
          <w:end w:w="108" w:type="dxa"/>
        </w:tblCellMar>
        <w:tblLook w:firstRow="1" w:noVBand="1" w:lastRow="0" w:firstColumn="1" w:lastColumn="0" w:noHBand="0" w:val="04a0"/>
      </w:tblPr>
      <w:tblGrid>
        <w:gridCol w:w="5034"/>
        <w:gridCol w:w="4316"/>
      </w:tblGrid>
      <w:tr>
        <w:trPr>
          <w:trHeight w:val="241"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RS"/>
              </w:rPr>
            </w:pPr>
            <w:r>
              <w:rPr>
                <w:rFonts w:eastAsia="Calibri" w:cs="Tahoma" w:ascii="Tahoma" w:hAnsi="Tahoma"/>
                <w:iCs/>
                <w:kern w:val="2"/>
                <w:sz w:val="20"/>
                <w:szCs w:val="22"/>
                <w:lang w:val="sr-RS" w:eastAsia="en-US" w:bidi="ar-SA"/>
              </w:rPr>
              <w:t>Назив нацрта/предлога акта</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eastAsia="Calibri" w:cs="Tahoma" w:ascii="Tahoma" w:hAnsi="Tahoma"/>
                <w:kern w:val="2"/>
                <w:sz w:val="20"/>
                <w:szCs w:val="22"/>
                <w:lang w:val="sr-RS" w:eastAsia="en-US" w:bidi="ar-SA"/>
              </w:rPr>
              <w:t>Програм унапређења социјалне  заштите општине Беочин за период од 2025. до 2030. године</w:t>
            </w:r>
          </w:p>
        </w:tc>
      </w:tr>
      <w:tr>
        <w:trPr>
          <w:trHeight w:val="261"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RS"/>
              </w:rPr>
            </w:pPr>
            <w:r>
              <w:rPr>
                <w:rFonts w:eastAsia="Calibri" w:cs="Tahoma" w:ascii="Tahoma" w:hAnsi="Tahoma"/>
                <w:iCs/>
                <w:kern w:val="2"/>
                <w:sz w:val="20"/>
                <w:szCs w:val="22"/>
                <w:lang w:val="sr-RS" w:eastAsia="en-US" w:bidi="ar-SA"/>
              </w:rPr>
              <w:t>Надлежни предлагач</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eastAsia="Calibri" w:cs="Tahoma" w:ascii="Tahoma" w:hAnsi="Tahoma"/>
                <w:kern w:val="2"/>
                <w:sz w:val="20"/>
                <w:szCs w:val="22"/>
                <w:lang w:val="sr-RS" w:eastAsia="en-US" w:bidi="ar-SA"/>
              </w:rPr>
              <w:t>Општина Беочин</w:t>
            </w:r>
          </w:p>
        </w:tc>
      </w:tr>
      <w:tr>
        <w:trPr>
          <w:trHeight w:val="241"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RS"/>
              </w:rPr>
            </w:pPr>
            <w:r>
              <w:rPr>
                <w:rFonts w:eastAsia="Calibri" w:cs="Tahoma" w:ascii="Tahoma" w:hAnsi="Tahoma"/>
                <w:iCs/>
                <w:kern w:val="2"/>
                <w:sz w:val="20"/>
                <w:szCs w:val="22"/>
                <w:lang w:val="sr-RS" w:eastAsia="en-US" w:bidi="ar-SA"/>
              </w:rPr>
              <w:t>Период спровођења јавне расправе</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cs="Tahoma" w:ascii="Tahoma" w:hAnsi="Tahoma"/>
                <w:iCs/>
                <w:sz w:val="20"/>
                <w:lang w:val="sr-RS"/>
              </w:rPr>
            </w:r>
          </w:p>
        </w:tc>
      </w:tr>
      <w:tr>
        <w:trPr>
          <w:trHeight w:val="261"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RS"/>
              </w:rPr>
            </w:pPr>
            <w:r>
              <w:rPr>
                <w:rFonts w:eastAsia="Calibri" w:cs="Tahoma" w:ascii="Tahoma" w:hAnsi="Tahoma"/>
                <w:iCs/>
                <w:kern w:val="2"/>
                <w:sz w:val="20"/>
                <w:szCs w:val="22"/>
                <w:lang w:val="sr-RS" w:eastAsia="en-US" w:bidi="ar-SA"/>
              </w:rPr>
              <w:t>Методи спровођења</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cs="Tahoma" w:ascii="Tahoma" w:hAnsi="Tahoma"/>
                <w:iCs/>
                <w:sz w:val="20"/>
                <w:lang w:val="sr-RS"/>
              </w:rPr>
            </w:r>
          </w:p>
        </w:tc>
      </w:tr>
      <w:tr>
        <w:trPr>
          <w:trHeight w:val="241"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RS"/>
              </w:rPr>
            </w:pPr>
            <w:r>
              <w:rPr>
                <w:rFonts w:eastAsia="Calibri" w:cs="Tahoma" w:ascii="Tahoma" w:hAnsi="Tahoma"/>
                <w:iCs/>
                <w:kern w:val="2"/>
                <w:sz w:val="20"/>
                <w:szCs w:val="22"/>
                <w:lang w:val="sr-RS" w:eastAsia="en-US" w:bidi="ar-SA"/>
              </w:rPr>
              <w:t>Достављање писаних коментара</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cs="Tahoma" w:ascii="Tahoma" w:hAnsi="Tahoma"/>
                <w:iCs/>
                <w:sz w:val="20"/>
                <w:lang w:val="sr-RS"/>
              </w:rPr>
            </w:r>
          </w:p>
        </w:tc>
      </w:tr>
      <w:tr>
        <w:trPr>
          <w:trHeight w:val="522"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RS"/>
              </w:rPr>
            </w:pPr>
            <w:r>
              <w:rPr>
                <w:rFonts w:eastAsia="Calibri" w:cs="Tahoma" w:ascii="Tahoma" w:hAnsi="Tahoma"/>
                <w:iCs/>
                <w:kern w:val="2"/>
                <w:sz w:val="20"/>
                <w:szCs w:val="22"/>
                <w:lang w:val="sr-RS" w:eastAsia="en-US" w:bidi="ar-SA"/>
              </w:rPr>
              <w:t>Други методи спровођења јавне расправе</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cs="Tahoma" w:ascii="Tahoma" w:hAnsi="Tahoma"/>
                <w:iCs/>
                <w:sz w:val="20"/>
                <w:lang w:val="sr-RS"/>
              </w:rPr>
            </w:r>
          </w:p>
        </w:tc>
      </w:tr>
      <w:tr>
        <w:trPr>
          <w:trHeight w:val="502"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RS"/>
              </w:rPr>
            </w:pPr>
            <w:r>
              <w:rPr>
                <w:rFonts w:eastAsia="Calibri" w:cs="Tahoma" w:ascii="Tahoma" w:hAnsi="Tahoma"/>
                <w:iCs/>
                <w:kern w:val="2"/>
                <w:sz w:val="20"/>
                <w:szCs w:val="22"/>
                <w:lang w:val="sr-RS" w:eastAsia="en-US" w:bidi="ar-SA"/>
              </w:rPr>
              <w:t>Да ли је у потпуности спроведен програм јавне расправе</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cs="Tahoma" w:ascii="Tahoma" w:hAnsi="Tahoma"/>
                <w:iCs/>
                <w:sz w:val="20"/>
                <w:lang w:val="sr-RS"/>
              </w:rPr>
            </w:r>
          </w:p>
        </w:tc>
      </w:tr>
      <w:tr>
        <w:trPr>
          <w:trHeight w:val="410"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RS"/>
              </w:rPr>
            </w:pPr>
            <w:r>
              <w:rPr>
                <w:rFonts w:eastAsia="Calibri" w:cs="Tahoma" w:ascii="Tahoma" w:hAnsi="Tahoma"/>
                <w:iCs/>
                <w:kern w:val="2"/>
                <w:sz w:val="20"/>
                <w:szCs w:val="22"/>
                <w:lang w:val="sr-RS" w:eastAsia="en-US" w:bidi="ar-SA"/>
              </w:rPr>
              <w:t>Да ли је осигурано учешће свих идентификованих циљних група у јавној</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cs="Tahoma" w:ascii="Tahoma" w:hAnsi="Tahoma"/>
                <w:iCs/>
                <w:sz w:val="20"/>
                <w:lang w:val="sr-RS"/>
              </w:rPr>
            </w:r>
          </w:p>
        </w:tc>
      </w:tr>
      <w:tr>
        <w:trPr>
          <w:trHeight w:val="485"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RS"/>
              </w:rPr>
            </w:pPr>
            <w:r>
              <w:rPr>
                <w:rFonts w:eastAsia="Calibri" w:cs="Tahoma" w:ascii="Tahoma" w:hAnsi="Tahoma"/>
                <w:iCs/>
                <w:kern w:val="2"/>
                <w:sz w:val="20"/>
                <w:szCs w:val="22"/>
                <w:lang w:val="sr-RS" w:eastAsia="en-US" w:bidi="ar-SA"/>
              </w:rPr>
              <w:t>Које су друге заинтересоване стране учествовале у јавној расправи</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cs="Tahoma" w:ascii="Tahoma" w:hAnsi="Tahoma"/>
                <w:iCs/>
                <w:sz w:val="20"/>
                <w:lang w:val="sr-RS"/>
              </w:rPr>
            </w:r>
          </w:p>
        </w:tc>
      </w:tr>
      <w:tr>
        <w:trPr>
          <w:trHeight w:val="141"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RS"/>
              </w:rPr>
            </w:pPr>
            <w:r>
              <w:rPr>
                <w:rFonts w:eastAsia="Calibri" w:cs="Tahoma" w:ascii="Tahoma" w:hAnsi="Tahoma"/>
                <w:iCs/>
                <w:kern w:val="2"/>
                <w:sz w:val="20"/>
                <w:szCs w:val="22"/>
                <w:lang w:val="sr-RS" w:eastAsia="en-US" w:bidi="ar-SA"/>
              </w:rPr>
              <w:t>Да ли је спровођење јавне расправе изазвало додатне буџетске трошкове</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cs="Tahoma" w:ascii="Tahoma" w:hAnsi="Tahoma"/>
                <w:iCs/>
                <w:sz w:val="20"/>
                <w:lang w:val="sr-RS"/>
              </w:rPr>
            </w:r>
          </w:p>
        </w:tc>
      </w:tr>
      <w:tr>
        <w:trPr>
          <w:trHeight w:val="224"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RS"/>
              </w:rPr>
            </w:pPr>
            <w:r>
              <w:rPr>
                <w:rFonts w:eastAsia="Calibri" w:cs="Tahoma" w:ascii="Tahoma" w:hAnsi="Tahoma"/>
                <w:iCs/>
                <w:kern w:val="2"/>
                <w:sz w:val="20"/>
                <w:szCs w:val="22"/>
                <w:lang w:val="sr-RS" w:eastAsia="en-US" w:bidi="ar-SA"/>
              </w:rPr>
              <w:t>Информације о достављеним коментарима, предлозима и сугестијама</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cs="Tahoma" w:ascii="Tahoma" w:hAnsi="Tahoma"/>
                <w:iCs/>
                <w:sz w:val="20"/>
                <w:lang w:val="sr-RS"/>
              </w:rPr>
            </w:r>
          </w:p>
        </w:tc>
      </w:tr>
      <w:tr>
        <w:trPr>
          <w:trHeight w:val="481" w:hRule="atLeast"/>
        </w:trPr>
        <w:tc>
          <w:tcPr>
            <w:tcW w:w="5034" w:type="dxa"/>
            <w:tcBorders/>
          </w:tcPr>
          <w:p>
            <w:pPr>
              <w:pStyle w:val="Normal"/>
              <w:widowControl w:val="false"/>
              <w:suppressAutoHyphens w:val="true"/>
              <w:spacing w:lineRule="auto" w:line="240" w:before="0" w:after="0"/>
              <w:jc w:val="start"/>
              <w:rPr>
                <w:rFonts w:ascii="Tahoma" w:hAnsi="Tahoma" w:cs="Tahoma"/>
                <w:iCs/>
                <w:sz w:val="20"/>
                <w:lang w:val="sr-Latn-RS"/>
              </w:rPr>
            </w:pPr>
            <w:r>
              <w:rPr>
                <w:rFonts w:eastAsia="Calibri" w:cs="Tahoma" w:ascii="Tahoma" w:hAnsi="Tahoma"/>
                <w:iCs/>
                <w:kern w:val="2"/>
                <w:sz w:val="20"/>
                <w:szCs w:val="22"/>
                <w:lang w:val="sr-RS" w:eastAsia="en-US" w:bidi="ar-SA"/>
              </w:rPr>
              <w:t>Анализа примљених коментара</w:t>
            </w:r>
          </w:p>
        </w:tc>
        <w:tc>
          <w:tcPr>
            <w:tcW w:w="4316" w:type="dxa"/>
            <w:tcBorders/>
          </w:tcPr>
          <w:p>
            <w:pPr>
              <w:pStyle w:val="Normal"/>
              <w:widowControl w:val="false"/>
              <w:suppressAutoHyphens w:val="true"/>
              <w:spacing w:lineRule="auto" w:line="240" w:before="0" w:after="0"/>
              <w:jc w:val="both"/>
              <w:rPr>
                <w:rFonts w:ascii="Tahoma" w:hAnsi="Tahoma" w:cs="Tahoma"/>
                <w:iCs/>
                <w:sz w:val="20"/>
                <w:lang w:val="sr-RS"/>
              </w:rPr>
            </w:pPr>
            <w:r>
              <w:rPr>
                <w:rFonts w:cs="Tahoma" w:ascii="Tahoma" w:hAnsi="Tahoma"/>
                <w:iCs/>
                <w:sz w:val="20"/>
                <w:lang w:val="sr-RS"/>
              </w:rPr>
            </w:r>
          </w:p>
        </w:tc>
      </w:tr>
    </w:tbl>
    <w:p>
      <w:pPr>
        <w:pStyle w:val="Normal"/>
        <w:spacing w:lineRule="auto" w:line="240" w:before="0" w:after="160"/>
        <w:jc w:val="both"/>
        <w:rPr>
          <w:rFonts w:ascii="Tahoma" w:hAnsi="Tahoma" w:cs="Tahoma"/>
          <w:sz w:val="20"/>
          <w:lang w:val="sr-RS"/>
        </w:rPr>
      </w:pPr>
      <w:r>
        <w:rPr/>
      </w:r>
    </w:p>
    <w:sectPr>
      <w:headerReference w:type="default" r:id="rId31"/>
      <w:footerReference w:type="default" r:id="rId32"/>
      <w:footnotePr>
        <w:numFmt w:val="decimal"/>
      </w:footnotePr>
      <w:type w:val="nextPage"/>
      <w:pgSz w:w="12240" w:h="15840"/>
      <w:pgMar w:left="1440" w:right="1440" w:header="720" w:top="1440" w:footer="720" w:bottom="1440" w:gutter="0"/>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00" w:characterSet="windows-1252"/>
    <w:family w:val="roman"/>
    <w:pitch w:val="variable"/>
  </w:font>
  <w:font w:name="Arial">
    <w:charset w:val="01"/>
    <w:family w:val="roman"/>
    <w:pitch w:val="default"/>
  </w:font>
  <w:font w:name="Tahoma">
    <w:charset w:val="01"/>
    <w:family w:val="roman"/>
    <w:pitch w:val="default"/>
  </w:font>
  <w:font w:name="Segoe UI">
    <w:charset w:val="01"/>
    <w:family w:val="roman"/>
    <w:pitch w:val="default"/>
  </w:font>
  <w:font w:name="Times New Roman">
    <w:charset w:val="01"/>
    <w:family w:val="roman"/>
    <w:pitch w:val="default"/>
  </w:font>
  <w:font w:name="Calibri">
    <w:charset w:val="01"/>
    <w:family w:val="roman"/>
    <w:pitch w:val="default"/>
  </w:font>
  <w:font w:name="Courier New">
    <w:charset w:val="01"/>
    <w:family w:val="roman"/>
    <w:pitch w:val="default"/>
  </w:font>
  <w:font w:name="Liberation Sans">
    <w:altName w:val="Arial"/>
    <w:charset w:val="01"/>
    <w:family w:val="roman"/>
    <w:pitch w:val="default"/>
  </w:font>
  <w:font w:name="Liberation Serif">
    <w:altName w:val="Times New Roman"/>
    <w:charset w:val="01"/>
    <w:family w:val="roman"/>
    <w:pitch w:val="default"/>
  </w:font>
  <w:font w:name="Candara">
    <w:charset w:val="01"/>
    <w:family w:val="roman"/>
    <w:pitch w:val="default"/>
  </w:font>
  <w:font w:name="Century Gothic">
    <w:charset w:val="01"/>
    <w:family w:val="roman"/>
    <w:pitch w:val="default"/>
  </w:font>
  <w:font w:name="DejaVu Sans">
    <w:charset w:val="01"/>
    <w:family w:val="roman"/>
    <w:pitch w:val="default"/>
  </w:font>
  <w:font w:name="Tahoma">
    <w:charset w:val="01"/>
    <w:family w:val="swiss"/>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481968619"/>
    </w:sdtPr>
    <w:sdtContent>
      <w:p>
        <w:pPr>
          <w:pStyle w:val="Footer"/>
          <w:jc w:val="center"/>
          <w:rPr/>
        </w:pPr>
        <w:r>
          <w:rPr/>
          <w:fldChar w:fldCharType="begin"/>
        </w:r>
        <w:r>
          <w:rPr/>
          <w:instrText> PAGE </w:instrText>
        </w:r>
        <w:r>
          <w:rPr/>
          <w:fldChar w:fldCharType="separate"/>
        </w:r>
        <w:r>
          <w:rPr/>
          <w:t>36</w:t>
        </w:r>
        <w:r>
          <w:rPr/>
          <w:fldChar w:fldCharType="end"/>
        </w:r>
      </w:p>
    </w:sdtContent>
  </w:sdt>
  <w:p>
    <w:pPr>
      <w:pStyle w:val="Footer"/>
      <w:spacing w:before="0" w:after="16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spacing w:before="0" w:after="160"/>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1034681956"/>
    </w:sdtPr>
    <w:sdtContent>
      <w:p>
        <w:pPr>
          <w:pStyle w:val="Footer"/>
          <w:jc w:val="center"/>
          <w:rPr/>
        </w:pPr>
        <w:r>
          <w:rPr/>
          <w:fldChar w:fldCharType="begin"/>
        </w:r>
        <w:r>
          <w:rPr/>
          <w:instrText> PAGE </w:instrText>
        </w:r>
        <w:r>
          <w:rPr/>
          <w:fldChar w:fldCharType="separate"/>
        </w:r>
        <w:r>
          <w:rPr/>
          <w:t>49</w:t>
        </w:r>
        <w:r>
          <w:rPr/>
          <w:fldChar w:fldCharType="end"/>
        </w:r>
      </w:p>
    </w:sdtContent>
  </w:sdt>
  <w:p>
    <w:pPr>
      <w:pStyle w:val="Footer"/>
      <w:spacing w:before="0" w:after="160"/>
      <w:rPr/>
    </w:pPr>
    <w:r>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1591260402"/>
    </w:sdtPr>
    <w:sdtContent>
      <w:p>
        <w:pPr>
          <w:pStyle w:val="Footer"/>
          <w:jc w:val="center"/>
          <w:rPr/>
        </w:pPr>
        <w:r>
          <w:rPr/>
          <w:fldChar w:fldCharType="begin"/>
        </w:r>
        <w:r>
          <w:rPr/>
          <w:instrText> PAGE </w:instrText>
        </w:r>
        <w:r>
          <w:rPr/>
          <w:fldChar w:fldCharType="separate"/>
        </w:r>
        <w:r>
          <w:rPr/>
          <w:t>65</w:t>
        </w:r>
        <w:r>
          <w:rPr/>
          <w:fldChar w:fldCharType="end"/>
        </w:r>
      </w:p>
    </w:sdtContent>
  </w:sdt>
  <w:p>
    <w:pPr>
      <w:pStyle w:val="Footer"/>
      <w:spacing w:before="0" w:after="160"/>
      <w:rPr/>
    </w:pPr>
    <w:r>
      <w:rPr/>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pPr>
        <w:rPr>
          <w:sz w:val="12"/>
        </w:rPr>
      </w:pPr>
      <w:r>
        <w:separator/>
      </w:r>
    </w:p>
  </w:footnote>
  <w:footnote w:id="1" w:type="continuationSeparator">
    <w:p>
      <w:pPr>
        <w:rPr>
          <w:sz w:val="12"/>
        </w:rPr>
      </w:pPr>
      <w:r>
        <w:continuationSeparator/>
      </w:r>
    </w:p>
  </w:footnote>
  <w:footnote w:id="2">
    <w:p>
      <w:pPr>
        <w:pStyle w:val="Footnotedescription"/>
        <w:ind w:start="0" w:hanging="0"/>
        <w:rPr>
          <w:szCs w:val="16"/>
        </w:rPr>
      </w:pPr>
      <w:r>
        <w:rPr>
          <w:rStyle w:val="FootnoteCharacters"/>
        </w:rPr>
        <w:footnoteRef/>
      </w:r>
      <w:r>
        <w:rPr>
          <w:szCs w:val="16"/>
        </w:rPr>
        <w:t xml:space="preserve"> </w:t>
      </w:r>
      <w:r>
        <w:rPr>
          <w:szCs w:val="16"/>
        </w:rPr>
        <w:t xml:space="preserve">Закон о социјалној заштити („Сл. Гласник РС“ бр. 24/2011 и 117/2022 – УС), члан 20 </w:t>
      </w:r>
    </w:p>
  </w:footnote>
  <w:footnote w:id="3">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bCs/>
          <w:sz w:val="16"/>
          <w:szCs w:val="16"/>
          <w:lang w:val="sr-CS"/>
        </w:rPr>
        <w:t>„</w:t>
      </w:r>
      <w:r>
        <w:rPr>
          <w:rFonts w:cs="Tahoma" w:ascii="Tahoma" w:hAnsi="Tahoma"/>
          <w:sz w:val="16"/>
          <w:szCs w:val="16"/>
          <w:lang w:val="sr-RS"/>
        </w:rPr>
        <w:t>Службени гласник РС”, број 30/18</w:t>
      </w:r>
    </w:p>
  </w:footnote>
  <w:footnote w:id="4">
    <w:p>
      <w:pPr>
        <w:pStyle w:val="Normal2"/>
        <w:shd w:val="clear" w:color="auto" w:fill="FFFFFF"/>
        <w:spacing w:beforeAutospacing="0" w:before="0" w:afterAutospacing="0" w:after="0"/>
        <w:rPr>
          <w:rFonts w:ascii="Tahoma" w:hAnsi="Tahoma" w:cs="Tahoma"/>
          <w:sz w:val="16"/>
          <w:szCs w:val="16"/>
          <w:lang w:val="sr-CS"/>
        </w:rPr>
      </w:pPr>
      <w:r>
        <w:rPr>
          <w:rStyle w:val="FootnoteCharacters"/>
        </w:rPr>
        <w:footnoteRef/>
      </w:r>
      <w:r>
        <w:rPr>
          <w:rFonts w:cs="Tahoma" w:ascii="Tahoma" w:hAnsi="Tahoma"/>
          <w:sz w:val="16"/>
          <w:szCs w:val="16"/>
        </w:rPr>
        <w:t xml:space="preserve"> </w:t>
      </w:r>
      <w:r>
        <w:rPr>
          <w:rFonts w:cs="Tahoma" w:ascii="Tahoma" w:hAnsi="Tahoma"/>
          <w:sz w:val="16"/>
          <w:szCs w:val="16"/>
          <w:lang w:val="sr-CS"/>
        </w:rPr>
        <w:t>"Сл. гласник РС", бр. 129/2007, 83/2014 - др. закон, 101/2016 - др. закон, 47/2018 и 111/2021 - др. закон</w:t>
      </w:r>
    </w:p>
  </w:footnote>
  <w:footnote w:id="5">
    <w:p>
      <w:pPr>
        <w:pStyle w:val="Footnote"/>
        <w:rPr>
          <w:rFonts w:ascii="Tahoma" w:hAnsi="Tahoma" w:cs="Tahoma"/>
          <w:sz w:val="16"/>
          <w:szCs w:val="16"/>
          <w:lang w:val="sr-RS"/>
        </w:rPr>
      </w:pPr>
      <w:r>
        <w:rPr>
          <w:rStyle w:val="FootnoteCharacters"/>
        </w:rPr>
        <w:footnoteRef/>
      </w:r>
      <w:r>
        <w:rPr>
          <w:rFonts w:cs="Tahoma" w:ascii="Tahoma" w:hAnsi="Tahoma"/>
          <w:sz w:val="16"/>
          <w:szCs w:val="16"/>
          <w:lang w:val="sr-CS"/>
        </w:rPr>
        <w:t xml:space="preserve"> </w:t>
      </w:r>
      <w:r>
        <w:rPr>
          <w:rFonts w:cs="Tahoma" w:ascii="Tahoma" w:hAnsi="Tahoma"/>
          <w:sz w:val="16"/>
          <w:szCs w:val="16"/>
          <w:lang w:val="sr-RS"/>
        </w:rPr>
        <w:t>„</w:t>
      </w:r>
      <w:r>
        <w:rPr>
          <w:rFonts w:cs="Tahoma" w:ascii="Tahoma" w:hAnsi="Tahoma"/>
          <w:sz w:val="16"/>
          <w:szCs w:val="16"/>
          <w:lang w:val="sr-RS"/>
        </w:rPr>
        <w:t>Сл. лист Општине Беочин“ бр. 13/2023</w:t>
      </w:r>
    </w:p>
  </w:footnote>
  <w:footnote w:id="6">
    <w:p>
      <w:pPr>
        <w:pStyle w:val="Footnotedescription"/>
        <w:ind w:start="0" w:hanging="0"/>
        <w:rPr>
          <w:color w:val="auto"/>
          <w:szCs w:val="16"/>
        </w:rPr>
      </w:pPr>
      <w:r>
        <w:rPr>
          <w:rStyle w:val="FootnoteCharacters"/>
        </w:rPr>
        <w:footnoteRef/>
      </w:r>
      <w:r>
        <w:rPr>
          <w:color w:val="auto"/>
          <w:szCs w:val="16"/>
        </w:rPr>
        <w:t xml:space="preserve"> </w:t>
      </w:r>
      <w:r>
        <w:rPr>
          <w:color w:val="auto"/>
          <w:szCs w:val="16"/>
        </w:rPr>
        <w:t xml:space="preserve">СКГО је развила и свим ЈЛС обезбедила доступне смернице односно Водич за јавне набавке у социјалној заштити. </w:t>
      </w:r>
    </w:p>
  </w:footnote>
  <w:footnote w:id="7">
    <w:p>
      <w:pPr>
        <w:pStyle w:val="Footnotedescription"/>
        <w:spacing w:lineRule="auto" w:line="228"/>
        <w:ind w:start="0" w:firstLine="11"/>
        <w:rPr>
          <w:szCs w:val="16"/>
        </w:rPr>
      </w:pPr>
      <w:r>
        <w:rPr>
          <w:rStyle w:val="FootnoteCharacters"/>
        </w:rPr>
        <w:footnoteRef/>
      </w:r>
      <w:r>
        <w:rPr>
          <w:szCs w:val="16"/>
        </w:rPr>
        <w:t xml:space="preserve"> </w:t>
      </w:r>
      <w:r>
        <w:rPr>
          <w:szCs w:val="16"/>
        </w:rPr>
        <w:t>У циљу подршке ЈЛС у развоју и одрживости услуга социјалне заштите, СКГО је објавила Водич за локалне самоуправе: „Модели и препоруке за унапређење планирања и спровођења поступака јавних набавки за набавку услуга социјалне заштите и праћење реализације уговора о јавној набавци”.</w:t>
      </w:r>
    </w:p>
  </w:footnote>
  <w:footnote w:id="8">
    <w:p>
      <w:pPr>
        <w:pStyle w:val="Footnote"/>
        <w:rPr>
          <w:rFonts w:ascii="Tahoma" w:hAnsi="Tahoma" w:cs="Tahoma"/>
          <w:lang w:val="sr-Latn-RS"/>
        </w:rPr>
      </w:pPr>
      <w:r>
        <w:rPr>
          <w:rStyle w:val="FootnoteCharacters"/>
        </w:rPr>
        <w:footnoteRef/>
      </w:r>
      <w:r>
        <w:rPr>
          <w:lang w:val="sr-Latn-RS"/>
        </w:rPr>
        <w:t xml:space="preserve"> </w:t>
      </w:r>
      <w:r>
        <w:rPr>
          <w:rFonts w:cs="Tahoma" w:ascii="Tahoma" w:hAnsi="Tahoma"/>
          <w:lang w:val="sr-Latn-RS"/>
        </w:rPr>
        <w:t>„</w:t>
      </w:r>
      <w:r>
        <w:rPr>
          <w:rFonts w:cs="Tahoma" w:ascii="Tahoma" w:hAnsi="Tahoma"/>
          <w:lang w:val="sr-CS"/>
        </w:rPr>
        <w:t>Сл. лист општине Беочин</w:t>
      </w:r>
      <w:r>
        <w:rPr>
          <w:rFonts w:cs="Tahoma" w:ascii="Tahoma" w:hAnsi="Tahoma"/>
          <w:lang w:val="sr-Latn-RS"/>
        </w:rPr>
        <w:t xml:space="preserve">“ </w:t>
      </w:r>
      <w:r>
        <w:rPr>
          <w:rFonts w:cs="Tahoma" w:ascii="Tahoma" w:hAnsi="Tahoma"/>
          <w:lang w:val="sr-RS"/>
        </w:rPr>
        <w:t>бр</w:t>
      </w:r>
      <w:r>
        <w:rPr>
          <w:rFonts w:cs="Tahoma" w:ascii="Tahoma" w:hAnsi="Tahoma"/>
          <w:lang w:val="sr-Latn-RS"/>
        </w:rPr>
        <w:t xml:space="preserve"> 11/2024</w:t>
      </w:r>
    </w:p>
  </w:footnote>
  <w:footnote w:id="9">
    <w:p>
      <w:pPr>
        <w:pStyle w:val="Footnotedescription"/>
        <w:spacing w:lineRule="auto" w:line="240"/>
        <w:ind w:start="0" w:hanging="0"/>
        <w:rPr>
          <w:rFonts w:ascii="Times New Roman" w:hAnsi="Times New Roman" w:cs="Times New Roman"/>
          <w:szCs w:val="18"/>
        </w:rPr>
      </w:pPr>
      <w:r>
        <w:rPr>
          <w:rStyle w:val="FootnoteCharacters"/>
        </w:rPr>
        <w:footnoteRef/>
      </w:r>
      <w:r>
        <w:rPr>
          <w:rFonts w:cs="Times New Roman" w:ascii="Times New Roman" w:hAnsi="Times New Roman"/>
          <w:szCs w:val="18"/>
        </w:rPr>
        <w:t xml:space="preserve"> </w:t>
      </w:r>
      <w:r>
        <w:rPr>
          <w:rFonts w:cs="Times New Roman" w:ascii="Times New Roman" w:hAnsi="Times New Roman"/>
          <w:szCs w:val="18"/>
        </w:rPr>
        <w:t xml:space="preserve">Влада Републике Србије припремила је и усвојила три извештаја који су доступни на следећем линку: </w:t>
      </w:r>
      <w:hyperlink r:id="rId1">
        <w:r>
          <w:rPr>
            <w:rFonts w:cs="Times New Roman" w:ascii="Times New Roman" w:hAnsi="Times New Roman"/>
            <w:color w:val="0563C1"/>
            <w:szCs w:val="18"/>
            <w:u w:val="single" w:color="0563C1"/>
          </w:rPr>
          <w:t>https://socijalnoukljucivanje.gov.rs/category/documents?search</w:t>
        </w:r>
      </w:hyperlink>
      <w:hyperlink r:id="rId2">
        <w:r>
          <w:rPr>
            <w:rFonts w:cs="Times New Roman" w:ascii="Times New Roman" w:hAnsi="Times New Roman"/>
            <w:color w:val="0563C1"/>
            <w:szCs w:val="18"/>
            <w:u w:val="single" w:color="0563C1"/>
          </w:rPr>
          <w:t>-</w:t>
        </w:r>
      </w:hyperlink>
      <w:hyperlink r:id="rId3">
        <w:r>
          <w:rPr>
            <w:rFonts w:cs="Times New Roman" w:ascii="Times New Roman" w:hAnsi="Times New Roman"/>
            <w:color w:val="0563C1"/>
            <w:szCs w:val="18"/>
            <w:u w:val="single" w:color="0563C1"/>
          </w:rPr>
          <w:t>type=documents&amp;s=national+report</w:t>
        </w:r>
      </w:hyperlink>
      <w:hyperlink r:id="rId4">
        <w:r>
          <w:rPr>
            <w:rFonts w:cs="Times New Roman" w:ascii="Times New Roman" w:hAnsi="Times New Roman"/>
            <w:szCs w:val="18"/>
          </w:rPr>
          <w:t xml:space="preserve"> </w:t>
        </w:r>
      </w:hyperlink>
      <w:r>
        <w:rPr>
          <w:rFonts w:cs="Times New Roman" w:ascii="Times New Roman" w:hAnsi="Times New Roman"/>
          <w:szCs w:val="18"/>
        </w:rPr>
        <w:t xml:space="preserve"> </w:t>
      </w:r>
    </w:p>
  </w:footnote>
  <w:footnote w:id="10">
    <w:p>
      <w:pPr>
        <w:pStyle w:val="Footnotedescription"/>
        <w:spacing w:lineRule="auto" w:line="240" w:before="0" w:after="43"/>
        <w:ind w:start="0" w:end="1" w:hanging="0"/>
        <w:jc w:val="both"/>
        <w:rPr>
          <w:rFonts w:ascii="Times New Roman" w:hAnsi="Times New Roman" w:cs="Times New Roman"/>
          <w:szCs w:val="18"/>
        </w:rPr>
      </w:pPr>
      <w:r>
        <w:rPr>
          <w:rStyle w:val="FootnoteCharacters"/>
        </w:rPr>
        <w:footnoteRef/>
      </w:r>
      <w:r>
        <w:rPr>
          <w:rFonts w:cs="Times New Roman" w:ascii="Times New Roman" w:hAnsi="Times New Roman"/>
          <w:szCs w:val="18"/>
        </w:rPr>
        <w:t xml:space="preserve"> </w:t>
      </w:r>
      <w:r>
        <w:rPr>
          <w:rFonts w:cs="Times New Roman" w:ascii="Times New Roman" w:hAnsi="Times New Roman"/>
          <w:szCs w:val="18"/>
        </w:rPr>
        <w:t xml:space="preserve">Програм реформи политике запошљавања и социјалне политике (ЕСРП) усвојила је Влада Републике Србије у мају 2016. Одлучено је да примена ЕСРП буде стратешки процес структуриран по моделу Стратегије „Европа 2020“ коју примењују државе чланице, и који ће пратити процес европских интеграција као главни механизам за дијалог о приоритетима Републике Србије у области социјалне политике и запошљавања у процесу приступања ЕУ. Кључни изазови у социјалној и дечијој заштити идентификовани у ЕСРП-у су: повeћaњe обухвaтa и унaпрeђeњe aдeквaтности новчaних дaвaњa усмeрeних нa сиромaшнe, уз увaжaвaњe буџeтских могућности; повeћaњe подршкe природноj породици ради спречавања одвајања деце, нaстaвaк процeсa дeинституционaлизaциje, рaзвоj услугa у зajeдници; сeгмeнтирaност дуготрajнe нeгe, нeповeзaност новчaних дaвaњa сa услугaмa, нeдовољна доступност услугa зa дуготрajну нeгу; унaпрeђeњe квaлитeтa услугa, jaчaњe контролних и рeгулaторних мeхaнизaмa, мониторингa и eвaлуaциje; повeзивaњe цeнтaрa зa социjaлни рaд сa институциjaмa коje обeзбeђуjу услугe из облaсти здрaвствeнe зaштитe, обрaзовaњa и зaпошљaвaњa, aли и сa полициjом, OЦД коje зaступajу поjeдинe угрожeнe групe, Црвeним крстом, одговaрajућим службaмa локaлнe сaмоупрaвe.   </w:t>
      </w:r>
      <w:r>
        <w:rPr>
          <w:rFonts w:eastAsia="Calibri" w:cs="Times New Roman" w:ascii="Times New Roman" w:hAnsi="Times New Roman"/>
          <w:szCs w:val="18"/>
        </w:rPr>
        <w:t xml:space="preserve"> </w:t>
      </w:r>
    </w:p>
  </w:footnote>
  <w:footnote w:id="11">
    <w:p>
      <w:pPr>
        <w:pStyle w:val="Footnotedescription"/>
        <w:spacing w:lineRule="auto" w:line="240"/>
        <w:ind w:start="0" w:hanging="0"/>
        <w:rPr>
          <w:rFonts w:ascii="Times New Roman" w:hAnsi="Times New Roman" w:cs="Times New Roman"/>
          <w:szCs w:val="18"/>
        </w:rPr>
      </w:pPr>
      <w:r>
        <w:rPr>
          <w:rStyle w:val="FootnoteCharacters"/>
        </w:rPr>
        <w:footnoteRef/>
      </w:r>
      <w:r>
        <w:rPr>
          <w:rFonts w:cs="Times New Roman" w:ascii="Times New Roman" w:hAnsi="Times New Roman"/>
          <w:szCs w:val="18"/>
        </w:rPr>
        <w:t xml:space="preserve"> </w:t>
      </w:r>
      <w:r>
        <w:rPr>
          <w:rFonts w:cs="Times New Roman" w:ascii="Times New Roman" w:hAnsi="Times New Roman"/>
          <w:szCs w:val="18"/>
        </w:rPr>
        <w:t xml:space="preserve">Нови Програм економских реформи за период од 2023. до 2025. године  усвојен је у јануару 2023. године. Доступан на: </w:t>
      </w:r>
      <w:hyperlink r:id="rId5">
        <w:r>
          <w:rPr>
            <w:rFonts w:cs="Times New Roman" w:ascii="Times New Roman" w:hAnsi="Times New Roman"/>
            <w:color w:val="0563C1"/>
            <w:szCs w:val="18"/>
            <w:u w:val="single" w:color="0563C1"/>
          </w:rPr>
          <w:t>https://www.mfin.gov.rs//upload/media/n3g7Ti_63e625c76e357.pdf</w:t>
        </w:r>
      </w:hyperlink>
      <w:hyperlink r:id="rId6">
        <w:r>
          <w:rPr>
            <w:rFonts w:cs="Times New Roman" w:ascii="Times New Roman" w:hAnsi="Times New Roman"/>
            <w:szCs w:val="18"/>
          </w:rPr>
          <w:t xml:space="preserve"> </w:t>
        </w:r>
      </w:hyperlink>
      <w:r>
        <w:rPr>
          <w:rFonts w:cs="Times New Roman" w:ascii="Times New Roman" w:hAnsi="Times New Roman"/>
          <w:szCs w:val="18"/>
        </w:rPr>
        <w:t xml:space="preserve"> </w:t>
      </w:r>
    </w:p>
  </w:footnote>
  <w:footnote w:id="12">
    <w:p>
      <w:pPr>
        <w:pStyle w:val="Footnotedescription"/>
        <w:spacing w:lineRule="auto" w:line="240" w:before="0" w:after="10"/>
        <w:ind w:start="0" w:hanging="0"/>
        <w:rPr>
          <w:szCs w:val="18"/>
        </w:rPr>
      </w:pPr>
      <w:r>
        <w:rPr>
          <w:rStyle w:val="FootnoteCharacters"/>
        </w:rPr>
        <w:footnoteRef/>
      </w:r>
      <w:r>
        <w:rPr>
          <w:szCs w:val="18"/>
        </w:rPr>
        <w:t xml:space="preserve"> </w:t>
      </w:r>
      <w:r>
        <w:rPr>
          <w:szCs w:val="18"/>
        </w:rPr>
        <w:t xml:space="preserve">Акциони план за Поглавље 19 усвојен је у мају 2020. године (доступан на: </w:t>
      </w:r>
      <w:hyperlink r:id="rId7">
        <w:r>
          <w:rPr>
            <w:color w:val="0563C1"/>
            <w:szCs w:val="18"/>
            <w:u w:val="single" w:color="0563C1"/>
          </w:rPr>
          <w:t>https://www.minrzs.gov.rs/sites/default/files/2020</w:t>
        </w:r>
      </w:hyperlink>
      <w:hyperlink r:id="rId8">
        <w:r>
          <w:rPr>
            <w:color w:val="0563C1"/>
            <w:szCs w:val="18"/>
            <w:u w:val="single" w:color="0563C1"/>
          </w:rPr>
          <w:t>06/AP19%20ENG%20FINAL%20</w:t>
        </w:r>
      </w:hyperlink>
      <w:hyperlink r:id="rId9">
        <w:r>
          <w:rPr>
            <w:color w:val="0563C1"/>
            <w:szCs w:val="18"/>
            <w:u w:val="single" w:color="0563C1"/>
          </w:rPr>
          <w:t>-</w:t>
        </w:r>
      </w:hyperlink>
      <w:hyperlink r:id="rId10">
        <w:r>
          <w:rPr>
            <w:color w:val="0563C1"/>
            <w:szCs w:val="18"/>
            <w:u w:val="single" w:color="0563C1"/>
          </w:rPr>
          <w:t>%202020.docx</w:t>
        </w:r>
      </w:hyperlink>
      <w:hyperlink r:id="rId11">
        <w:r>
          <w:rPr>
            <w:szCs w:val="18"/>
          </w:rPr>
          <w:t>)</w:t>
        </w:r>
      </w:hyperlink>
      <w:r>
        <w:rPr>
          <w:szCs w:val="18"/>
        </w:rPr>
        <w:t xml:space="preserve">, док је Акциони план за Поглавље 23 усвојен 2016. а ревидиран 2020. године (доступан на: </w:t>
      </w:r>
      <w:hyperlink r:id="rId12">
        <w:r>
          <w:rPr>
            <w:color w:val="0563C1"/>
            <w:szCs w:val="18"/>
            <w:u w:val="single" w:color="0563C1"/>
          </w:rPr>
          <w:t>https://mpravde.gov.rs/files/Revised%20AP23.docx</w:t>
        </w:r>
      </w:hyperlink>
      <w:hyperlink r:id="rId13">
        <w:r>
          <w:rPr>
            <w:szCs w:val="18"/>
          </w:rPr>
          <w:t>)</w:t>
        </w:r>
      </w:hyperlink>
      <w:r>
        <w:rPr>
          <w:szCs w:val="18"/>
        </w:rPr>
        <w:t xml:space="preserve">.  </w:t>
      </w:r>
    </w:p>
  </w:footnote>
  <w:footnote w:id="13">
    <w:p>
      <w:pPr>
        <w:pStyle w:val="Footnotedescription"/>
        <w:tabs>
          <w:tab w:val="clear" w:pos="720"/>
          <w:tab w:val="center" w:pos="479" w:leader="none"/>
          <w:tab w:val="center" w:pos="1139" w:leader="none"/>
          <w:tab w:val="center" w:pos="1945" w:leader="none"/>
          <w:tab w:val="center" w:pos="2517" w:leader="none"/>
          <w:tab w:val="center" w:pos="3365" w:leader="none"/>
          <w:tab w:val="center" w:pos="4479" w:leader="none"/>
          <w:tab w:val="center" w:pos="5361" w:leader="none"/>
          <w:tab w:val="center" w:pos="6287" w:leader="none"/>
          <w:tab w:val="center" w:pos="7239" w:leader="none"/>
          <w:tab w:val="center" w:pos="8212" w:leader="none"/>
          <w:tab w:val="center" w:pos="9283" w:leader="none"/>
          <w:tab w:val="right" w:pos="10177" w:leader="none"/>
        </w:tabs>
        <w:ind w:start="0" w:hanging="0"/>
        <w:rPr>
          <w:szCs w:val="16"/>
        </w:rPr>
      </w:pPr>
      <w:r>
        <w:rPr>
          <w:rStyle w:val="FootnoteCharacters"/>
        </w:rPr>
        <w:footnoteRef/>
      </w:r>
      <w:r>
        <w:rPr>
          <w:szCs w:val="16"/>
        </w:rPr>
        <w:tab/>
        <w:t xml:space="preserve">Акциони </w:t>
        <w:tab/>
        <w:t xml:space="preserve">план за </w:t>
        <w:tab/>
        <w:t xml:space="preserve">спровођење програма Владе Републике Србије </w:t>
        <w:tab/>
        <w:t xml:space="preserve">2023-2026; Доступан на:  </w:t>
      </w:r>
    </w:p>
    <w:p>
      <w:pPr>
        <w:pStyle w:val="Footnotedescription"/>
        <w:ind w:start="0" w:hanging="0"/>
        <w:rPr>
          <w:szCs w:val="16"/>
        </w:rPr>
      </w:pPr>
      <w:hyperlink r:id="rId14">
        <w:r>
          <w:rPr>
            <w:color w:val="0563C1"/>
            <w:szCs w:val="16"/>
            <w:u w:val="single" w:color="0563C1"/>
          </w:rPr>
          <w:t>https://www.srbija.gov.rs/extfile/sr/686961/akcioni_plan_za_sprovodjenje_programa_vlade_2023</w:t>
        </w:r>
      </w:hyperlink>
      <w:hyperlink r:id="rId15">
        <w:r>
          <w:rPr>
            <w:color w:val="0563C1"/>
            <w:szCs w:val="16"/>
            <w:u w:val="single" w:color="0563C1"/>
          </w:rPr>
          <w:t>-</w:t>
        </w:r>
      </w:hyperlink>
      <w:hyperlink r:id="rId16">
        <w:r>
          <w:rPr>
            <w:color w:val="0563C1"/>
            <w:szCs w:val="16"/>
            <w:u w:val="single" w:color="0563C1"/>
          </w:rPr>
          <w:t>2026_cyr8.pdf</w:t>
        </w:r>
      </w:hyperlink>
      <w:hyperlink r:id="rId17">
        <w:r>
          <w:rPr>
            <w:szCs w:val="16"/>
          </w:rPr>
          <w:t xml:space="preserve"> </w:t>
        </w:r>
      </w:hyperlink>
      <w:r>
        <w:rPr>
          <w:szCs w:val="16"/>
        </w:rPr>
        <w:t xml:space="preserve"> </w:t>
      </w:r>
    </w:p>
  </w:footnote>
  <w:footnote w:id="14">
    <w:p>
      <w:pPr>
        <w:pStyle w:val="Footnotedescription"/>
        <w:spacing w:lineRule="auto" w:line="235" w:before="0" w:after="7"/>
        <w:ind w:start="0" w:end="1" w:hanging="0"/>
        <w:rPr>
          <w:szCs w:val="16"/>
        </w:rPr>
      </w:pPr>
      <w:r>
        <w:rPr>
          <w:rStyle w:val="FootnoteCharacters"/>
        </w:rPr>
        <w:footnoteRef/>
      </w:r>
      <w:r>
        <w:rPr>
          <w:szCs w:val="16"/>
        </w:rPr>
        <w:t xml:space="preserve"> </w:t>
      </w:r>
      <w:r>
        <w:rPr>
          <w:szCs w:val="16"/>
        </w:rPr>
        <w:t xml:space="preserve">Стратегија развоја социјалне заштите засниваће се на ex-post анализи претходне стратегије и  на ex-ante анализи ефеката социјалне заштите за период 2022-2030. Оба документа доступна су на: </w:t>
      </w:r>
      <w:hyperlink r:id="rId18">
        <w:r>
          <w:rPr>
            <w:color w:val="0563C1"/>
            <w:szCs w:val="16"/>
            <w:u w:val="single" w:color="0563C1"/>
          </w:rPr>
          <w:t>https://www.minrzs.gov.rs/sr/dokumenti/ostalo/sektor</w:t>
        </w:r>
      </w:hyperlink>
      <w:hyperlink r:id="rId19">
        <w:r>
          <w:rPr>
            <w:color w:val="0563C1"/>
            <w:szCs w:val="16"/>
            <w:u w:val="single" w:color="0563C1"/>
          </w:rPr>
          <w:t>-</w:t>
        </w:r>
      </w:hyperlink>
      <w:hyperlink r:id="rId20">
        <w:r>
          <w:rPr>
            <w:color w:val="0563C1"/>
            <w:szCs w:val="16"/>
            <w:u w:val="single" w:color="0563C1"/>
          </w:rPr>
          <w:t>za</w:t>
        </w:r>
      </w:hyperlink>
      <w:hyperlink r:id="rId21">
        <w:r>
          <w:rPr>
            <w:color w:val="0563C1"/>
            <w:szCs w:val="16"/>
            <w:u w:val="single" w:color="0563C1"/>
          </w:rPr>
          <w:t>socijalnu</w:t>
        </w:r>
      </w:hyperlink>
      <w:hyperlink r:id="rId22">
        <w:r>
          <w:rPr>
            <w:color w:val="0563C1"/>
            <w:szCs w:val="16"/>
            <w:u w:val="single" w:color="0563C1"/>
          </w:rPr>
          <w:t>-</w:t>
        </w:r>
      </w:hyperlink>
      <w:hyperlink r:id="rId23">
        <w:r>
          <w:rPr>
            <w:color w:val="0563C1"/>
            <w:szCs w:val="16"/>
            <w:u w:val="single" w:color="0563C1"/>
          </w:rPr>
          <w:t>zastitu/ex</w:t>
        </w:r>
      </w:hyperlink>
      <w:hyperlink r:id="rId24">
        <w:r>
          <w:rPr>
            <w:color w:val="0563C1"/>
            <w:szCs w:val="16"/>
            <w:u w:val="single" w:color="0563C1"/>
          </w:rPr>
          <w:t>-</w:t>
        </w:r>
      </w:hyperlink>
      <w:hyperlink r:id="rId25">
        <w:r>
          <w:rPr>
            <w:color w:val="0563C1"/>
            <w:szCs w:val="16"/>
            <w:u w:val="single" w:color="0563C1"/>
          </w:rPr>
          <w:t>post</w:t>
        </w:r>
      </w:hyperlink>
      <w:hyperlink r:id="rId26">
        <w:r>
          <w:rPr>
            <w:color w:val="0563C1"/>
            <w:szCs w:val="16"/>
            <w:u w:val="single" w:color="0563C1"/>
          </w:rPr>
          <w:t>-</w:t>
        </w:r>
      </w:hyperlink>
      <w:hyperlink r:id="rId27">
        <w:r>
          <w:rPr>
            <w:color w:val="0563C1"/>
            <w:szCs w:val="16"/>
            <w:u w:val="single" w:color="0563C1"/>
          </w:rPr>
          <w:t>analiza</w:t>
        </w:r>
      </w:hyperlink>
      <w:hyperlink r:id="rId28">
        <w:r>
          <w:rPr>
            <w:color w:val="0563C1"/>
            <w:szCs w:val="16"/>
            <w:u w:val="single" w:color="0563C1"/>
          </w:rPr>
          <w:t>-</w:t>
        </w:r>
      </w:hyperlink>
      <w:hyperlink r:id="rId29">
        <w:r>
          <w:rPr>
            <w:color w:val="0563C1"/>
            <w:szCs w:val="16"/>
            <w:u w:val="single" w:color="0563C1"/>
          </w:rPr>
          <w:t>strategije</w:t>
        </w:r>
      </w:hyperlink>
      <w:hyperlink r:id="rId30">
        <w:r>
          <w:rPr>
            <w:color w:val="0563C1"/>
            <w:szCs w:val="16"/>
            <w:u w:val="single" w:color="0563C1"/>
          </w:rPr>
          <w:t>-</w:t>
        </w:r>
      </w:hyperlink>
      <w:hyperlink r:id="rId31">
        <w:r>
          <w:rPr>
            <w:color w:val="0563C1"/>
            <w:szCs w:val="16"/>
            <w:u w:val="single" w:color="0563C1"/>
          </w:rPr>
          <w:t>razvoja</w:t>
        </w:r>
      </w:hyperlink>
      <w:hyperlink r:id="rId32">
        <w:r>
          <w:rPr>
            <w:color w:val="0563C1"/>
            <w:szCs w:val="16"/>
            <w:u w:val="single" w:color="0563C1"/>
          </w:rPr>
          <w:t>-</w:t>
        </w:r>
      </w:hyperlink>
      <w:hyperlink r:id="rId33">
        <w:r>
          <w:rPr>
            <w:color w:val="0563C1"/>
            <w:szCs w:val="16"/>
            <w:u w:val="single" w:color="0563C1"/>
          </w:rPr>
          <w:t>socijalne</w:t>
        </w:r>
      </w:hyperlink>
      <w:hyperlink r:id="rId34">
        <w:r>
          <w:rPr>
            <w:color w:val="0563C1"/>
            <w:szCs w:val="16"/>
            <w:u w:val="single" w:color="0563C1"/>
          </w:rPr>
          <w:t>-</w:t>
        </w:r>
      </w:hyperlink>
      <w:hyperlink r:id="rId35">
        <w:r>
          <w:rPr>
            <w:color w:val="0563C1"/>
            <w:szCs w:val="16"/>
            <w:u w:val="single" w:color="0563C1"/>
          </w:rPr>
          <w:t>zastite</w:t>
        </w:r>
      </w:hyperlink>
      <w:hyperlink r:id="rId36">
        <w:r>
          <w:rPr>
            <w:szCs w:val="16"/>
          </w:rPr>
          <w:t>.</w:t>
        </w:r>
      </w:hyperlink>
      <w:r>
        <w:rPr>
          <w:szCs w:val="16"/>
        </w:rPr>
        <w:t xml:space="preserve"> Ex-ante анализа ефеката идентификовала је 10 кључних изазова за даљи развој система социјалне заштите у Србији које је потребно решити у новој стратегији и операционализовати у акционом плану за спровођење стратегије. </w:t>
      </w:r>
    </w:p>
  </w:footnote>
  <w:footnote w:id="15">
    <w:p>
      <w:pPr>
        <w:pStyle w:val="Footnote"/>
        <w:rPr>
          <w:rFonts w:ascii="Tahoma" w:hAnsi="Tahoma" w:cs="Tahoma"/>
          <w:sz w:val="16"/>
          <w:szCs w:val="16"/>
          <w:lang w:val="sr-Latn-RS"/>
        </w:rPr>
      </w:pPr>
      <w:r>
        <w:rPr>
          <w:rStyle w:val="FootnoteCharacters"/>
        </w:rPr>
        <w:footnoteRef/>
      </w:r>
      <w:r>
        <w:rPr>
          <w:rFonts w:cs="Tahoma" w:ascii="Tahoma" w:hAnsi="Tahoma"/>
          <w:i/>
          <w:iCs/>
          <w:sz w:val="16"/>
          <w:szCs w:val="16"/>
          <w:lang w:val="sr-RS"/>
        </w:rPr>
        <w:t>"</w:t>
      </w:r>
      <w:r>
        <w:rPr>
          <w:rFonts w:cs="Tahoma" w:ascii="Tahoma" w:hAnsi="Tahoma"/>
          <w:iCs/>
          <w:sz w:val="16"/>
          <w:szCs w:val="16"/>
          <w:lang w:val="sr-RS"/>
        </w:rPr>
        <w:t>Сл. гласник РС", број 12 од 1. фебруара 2022.</w:t>
      </w:r>
    </w:p>
  </w:footnote>
  <w:footnote w:id="16">
    <w:p>
      <w:pPr>
        <w:pStyle w:val="Footnote"/>
        <w:rPr>
          <w:rFonts w:ascii="Tahoma" w:hAnsi="Tahoma" w:cs="Tahoma"/>
          <w:sz w:val="16"/>
          <w:szCs w:val="16"/>
          <w:lang w:val="sr-RS"/>
        </w:rPr>
      </w:pPr>
      <w:r>
        <w:rPr>
          <w:rStyle w:val="FootnoteCharacters"/>
        </w:rPr>
        <w:footnoteRef/>
      </w:r>
      <w:r>
        <w:rPr>
          <w:rFonts w:cs="Tahoma" w:ascii="Tahoma" w:hAnsi="Tahoma"/>
          <w:sz w:val="16"/>
          <w:szCs w:val="16"/>
          <w:lang w:val="sr-Latn-RS"/>
        </w:rPr>
        <w:t xml:space="preserve"> </w:t>
      </w:r>
      <w:r>
        <w:rPr>
          <w:rFonts w:cs="Tahoma" w:ascii="Tahoma" w:hAnsi="Tahoma"/>
          <w:sz w:val="16"/>
          <w:szCs w:val="16"/>
          <w:lang w:val="sr-RS"/>
        </w:rPr>
        <w:t>„</w:t>
      </w:r>
      <w:r>
        <w:rPr>
          <w:rFonts w:cs="Tahoma" w:ascii="Tahoma" w:hAnsi="Tahoma"/>
          <w:sz w:val="16"/>
          <w:szCs w:val="16"/>
          <w:lang w:val="sr-RS"/>
        </w:rPr>
        <w:t>Сл. гласник РС“ бр. 44/2020</w:t>
      </w:r>
    </w:p>
  </w:footnote>
  <w:footnote w:id="17">
    <w:p>
      <w:pPr>
        <w:pStyle w:val="Footnote"/>
        <w:rPr>
          <w:rFonts w:ascii="Tahoma" w:hAnsi="Tahoma" w:cs="Tahoma"/>
          <w:sz w:val="16"/>
          <w:szCs w:val="16"/>
          <w:lang w:val="sr-Latn-RS"/>
        </w:rPr>
      </w:pPr>
      <w:r>
        <w:rPr>
          <w:rStyle w:val="FootnoteCharacters"/>
        </w:rPr>
        <w:footnoteRef/>
      </w:r>
      <w:r>
        <w:rPr>
          <w:rFonts w:cs="Tahoma" w:ascii="Tahoma" w:hAnsi="Tahoma"/>
          <w:sz w:val="16"/>
          <w:szCs w:val="16"/>
          <w:lang w:val="sr-RS"/>
        </w:rPr>
        <w:t xml:space="preserve"> „</w:t>
      </w:r>
      <w:r>
        <w:rPr>
          <w:rFonts w:cs="Tahoma" w:ascii="Tahoma" w:hAnsi="Tahoma"/>
          <w:iCs/>
          <w:sz w:val="16"/>
          <w:szCs w:val="16"/>
          <w:lang w:val="sr-RS"/>
        </w:rPr>
        <w:t>Сл. гласник РС, бр. 47/2021</w:t>
      </w:r>
    </w:p>
  </w:footnote>
  <w:footnote w:id="18">
    <w:p>
      <w:pPr>
        <w:pStyle w:val="Footnote"/>
        <w:rPr>
          <w:rFonts w:ascii="Tahoma" w:hAnsi="Tahoma" w:cs="Tahoma"/>
          <w:iCs/>
          <w:sz w:val="16"/>
          <w:szCs w:val="16"/>
          <w:lang w:val="sr-RS"/>
        </w:rPr>
      </w:pPr>
      <w:r>
        <w:rPr>
          <w:rStyle w:val="FootnoteCharacters"/>
        </w:rPr>
        <w:footnoteRef/>
      </w:r>
      <w:r>
        <w:rPr>
          <w:rStyle w:val="FootnoteCharacters"/>
          <w:rFonts w:cs="Tahoma" w:ascii="Tahoma" w:hAnsi="Tahoma"/>
          <w:sz w:val="16"/>
          <w:szCs w:val="16"/>
          <w:lang w:val="sr-RS"/>
        </w:rPr>
        <w:t xml:space="preserve"> </w:t>
      </w:r>
      <w:r>
        <w:rPr>
          <w:rFonts w:cs="Tahoma" w:ascii="Tahoma" w:hAnsi="Tahoma"/>
          <w:iCs/>
          <w:sz w:val="16"/>
          <w:szCs w:val="16"/>
          <w:lang w:val="sr-RS"/>
        </w:rPr>
        <w:t>„</w:t>
      </w:r>
      <w:r>
        <w:rPr>
          <w:rFonts w:cs="Tahoma" w:ascii="Tahoma" w:hAnsi="Tahoma"/>
          <w:iCs/>
          <w:sz w:val="16"/>
          <w:szCs w:val="16"/>
          <w:lang w:val="sr-RS"/>
        </w:rPr>
        <w:t>Сл. гласник РС", бр. 103/2021</w:t>
      </w:r>
    </w:p>
  </w:footnote>
  <w:footnote w:id="19">
    <w:p>
      <w:pPr>
        <w:pStyle w:val="Footnote"/>
        <w:rPr>
          <w:rFonts w:ascii="Tahoma" w:hAnsi="Tahoma" w:cs="Tahoma"/>
          <w:sz w:val="16"/>
          <w:szCs w:val="16"/>
          <w:lang w:val="sr-RS"/>
        </w:rPr>
      </w:pPr>
      <w:r>
        <w:rPr>
          <w:rStyle w:val="FootnoteCharacters"/>
        </w:rPr>
        <w:footnoteRef/>
      </w:r>
      <w:r>
        <w:rPr>
          <w:rStyle w:val="Hyperlink8"/>
          <w:rFonts w:cs="Tahoma" w:ascii="Tahoma" w:hAnsi="Tahoma"/>
          <w:sz w:val="16"/>
          <w:szCs w:val="16"/>
          <w:lang w:val="sr-RS"/>
        </w:rPr>
        <w:t xml:space="preserve"> „</w:t>
      </w:r>
      <w:r>
        <w:rPr>
          <w:rStyle w:val="None"/>
          <w:rFonts w:cs="Tahoma" w:ascii="Tahoma" w:hAnsi="Tahoma"/>
          <w:iCs/>
          <w:sz w:val="16"/>
          <w:szCs w:val="16"/>
          <w:lang w:val="sr-RS"/>
        </w:rPr>
        <w:t>Сл.</w:t>
      </w:r>
      <w:r>
        <w:rPr>
          <w:rStyle w:val="None"/>
          <w:rFonts w:cs="Tahoma" w:ascii="Tahoma" w:hAnsi="Tahoma"/>
          <w:sz w:val="16"/>
          <w:szCs w:val="16"/>
          <w:lang w:val="sr-RS"/>
        </w:rPr>
        <w:t xml:space="preserve"> гласник РС</w:t>
      </w:r>
      <w:r>
        <w:rPr>
          <w:rStyle w:val="None"/>
          <w:rFonts w:cs="Tahoma" w:ascii="Tahoma" w:hAnsi="Tahoma"/>
          <w:iCs/>
          <w:sz w:val="16"/>
          <w:szCs w:val="16"/>
          <w:lang w:val="sr-RS"/>
        </w:rPr>
        <w:t>“</w:t>
      </w:r>
      <w:r>
        <w:rPr>
          <w:rStyle w:val="Hyperlink8"/>
          <w:rFonts w:cs="Tahoma" w:ascii="Tahoma" w:hAnsi="Tahoma"/>
          <w:sz w:val="16"/>
          <w:szCs w:val="16"/>
          <w:lang w:val="sr-RS"/>
        </w:rPr>
        <w:t xml:space="preserve"> бр. 26/2016</w:t>
      </w:r>
    </w:p>
  </w:footnote>
  <w:footnote w:id="20">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CS"/>
        </w:rPr>
        <w:t>„</w:t>
      </w:r>
      <w:r>
        <w:rPr>
          <w:rFonts w:cs="Tahoma" w:ascii="Tahoma" w:hAnsi="Tahoma"/>
          <w:sz w:val="16"/>
          <w:szCs w:val="16"/>
          <w:lang w:val="sr-CS"/>
        </w:rPr>
        <w:t>Сл. гласник РС", бр. 9/2023</w:t>
      </w:r>
    </w:p>
  </w:footnote>
  <w:footnote w:id="21">
    <w:p>
      <w:pPr>
        <w:pStyle w:val="Footnote"/>
        <w:rPr>
          <w:rFonts w:ascii="Tahoma" w:hAnsi="Tahoma" w:cs="Tahoma"/>
          <w:sz w:val="16"/>
          <w:szCs w:val="16"/>
          <w:lang w:val="sr-CS"/>
        </w:rPr>
      </w:pPr>
      <w:r>
        <w:rPr>
          <w:rStyle w:val="FootnoteCharacters"/>
        </w:rPr>
        <w:footnoteRef/>
      </w:r>
      <w:r>
        <w:rPr>
          <w:rFonts w:cs="Tahoma" w:ascii="Tahoma" w:hAnsi="Tahoma"/>
          <w:sz w:val="16"/>
          <w:szCs w:val="16"/>
          <w:lang w:val="sr-RS"/>
        </w:rPr>
        <w:t xml:space="preserve"> „</w:t>
      </w:r>
      <w:r>
        <w:rPr>
          <w:rFonts w:cs="Tahoma" w:ascii="Tahoma" w:hAnsi="Tahoma"/>
          <w:bCs/>
          <w:sz w:val="16"/>
          <w:szCs w:val="16"/>
          <w:lang w:val="sr-CS"/>
        </w:rPr>
        <w:t xml:space="preserve">Сл. лист АП Војводине", бр. 45/2023 </w:t>
      </w:r>
    </w:p>
  </w:footnote>
  <w:footnote w:id="22">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 xml:space="preserve">Стратегије Владе Републике Србије се могу наћи на: </w:t>
      </w:r>
      <w:hyperlink r:id="rId37">
        <w:r>
          <w:rPr>
            <w:rStyle w:val="InternetLink"/>
            <w:rFonts w:cs="Tahoma" w:ascii="Tahoma" w:hAnsi="Tahoma"/>
            <w:sz w:val="16"/>
            <w:szCs w:val="16"/>
          </w:rPr>
          <w:t>http</w:t>
        </w:r>
        <w:r>
          <w:rPr>
            <w:rStyle w:val="InternetLink"/>
            <w:rFonts w:cs="Tahoma" w:ascii="Tahoma" w:hAnsi="Tahoma"/>
            <w:sz w:val="16"/>
            <w:szCs w:val="16"/>
            <w:lang w:val="sr-RS"/>
          </w:rPr>
          <w:t>://</w:t>
        </w:r>
        <w:r>
          <w:rPr>
            <w:rStyle w:val="InternetLink"/>
            <w:rFonts w:cs="Tahoma" w:ascii="Tahoma" w:hAnsi="Tahoma"/>
            <w:sz w:val="16"/>
            <w:szCs w:val="16"/>
          </w:rPr>
          <w:t>www</w:t>
        </w:r>
        <w:r>
          <w:rPr>
            <w:rStyle w:val="InternetLink"/>
            <w:rFonts w:cs="Tahoma" w:ascii="Tahoma" w:hAnsi="Tahoma"/>
            <w:sz w:val="16"/>
            <w:szCs w:val="16"/>
            <w:lang w:val="sr-RS"/>
          </w:rPr>
          <w:t>.</w:t>
        </w:r>
        <w:r>
          <w:rPr>
            <w:rStyle w:val="InternetLink"/>
            <w:rFonts w:cs="Tahoma" w:ascii="Tahoma" w:hAnsi="Tahoma"/>
            <w:sz w:val="16"/>
            <w:szCs w:val="16"/>
          </w:rPr>
          <w:t>gs</w:t>
        </w:r>
        <w:r>
          <w:rPr>
            <w:rStyle w:val="InternetLink"/>
            <w:rFonts w:cs="Tahoma" w:ascii="Tahoma" w:hAnsi="Tahoma"/>
            <w:sz w:val="16"/>
            <w:szCs w:val="16"/>
            <w:lang w:val="sr-RS"/>
          </w:rPr>
          <w:t>.</w:t>
        </w:r>
        <w:r>
          <w:rPr>
            <w:rStyle w:val="InternetLink"/>
            <w:rFonts w:cs="Tahoma" w:ascii="Tahoma" w:hAnsi="Tahoma"/>
            <w:sz w:val="16"/>
            <w:szCs w:val="16"/>
          </w:rPr>
          <w:t>gov</w:t>
        </w:r>
        <w:r>
          <w:rPr>
            <w:rStyle w:val="InternetLink"/>
            <w:rFonts w:cs="Tahoma" w:ascii="Tahoma" w:hAnsi="Tahoma"/>
            <w:sz w:val="16"/>
            <w:szCs w:val="16"/>
            <w:lang w:val="sr-RS"/>
          </w:rPr>
          <w:t>.</w:t>
        </w:r>
        <w:r>
          <w:rPr>
            <w:rStyle w:val="InternetLink"/>
            <w:rFonts w:cs="Tahoma" w:ascii="Tahoma" w:hAnsi="Tahoma"/>
            <w:sz w:val="16"/>
            <w:szCs w:val="16"/>
          </w:rPr>
          <w:t>rs</w:t>
        </w:r>
        <w:r>
          <w:rPr>
            <w:rStyle w:val="InternetLink"/>
            <w:rFonts w:cs="Tahoma" w:ascii="Tahoma" w:hAnsi="Tahoma"/>
            <w:sz w:val="16"/>
            <w:szCs w:val="16"/>
            <w:lang w:val="sr-RS"/>
          </w:rPr>
          <w:t>/</w:t>
        </w:r>
        <w:r>
          <w:rPr>
            <w:rStyle w:val="InternetLink"/>
            <w:rFonts w:cs="Tahoma" w:ascii="Tahoma" w:hAnsi="Tahoma"/>
            <w:sz w:val="16"/>
            <w:szCs w:val="16"/>
          </w:rPr>
          <w:t>lat</w:t>
        </w:r>
        <w:r>
          <w:rPr>
            <w:rStyle w:val="InternetLink"/>
            <w:rFonts w:cs="Tahoma" w:ascii="Tahoma" w:hAnsi="Tahoma"/>
            <w:sz w:val="16"/>
            <w:szCs w:val="16"/>
            <w:lang w:val="sr-RS"/>
          </w:rPr>
          <w:t>/</w:t>
        </w:r>
        <w:r>
          <w:rPr>
            <w:rStyle w:val="InternetLink"/>
            <w:rFonts w:cs="Tahoma" w:ascii="Tahoma" w:hAnsi="Tahoma"/>
            <w:sz w:val="16"/>
            <w:szCs w:val="16"/>
          </w:rPr>
          <w:t>strategije</w:t>
        </w:r>
        <w:r>
          <w:rPr>
            <w:rStyle w:val="InternetLink"/>
            <w:rFonts w:cs="Tahoma" w:ascii="Tahoma" w:hAnsi="Tahoma"/>
            <w:sz w:val="16"/>
            <w:szCs w:val="16"/>
            <w:lang w:val="sr-RS"/>
          </w:rPr>
          <w:t>-</w:t>
        </w:r>
        <w:r>
          <w:rPr>
            <w:rStyle w:val="InternetLink"/>
            <w:rFonts w:cs="Tahoma" w:ascii="Tahoma" w:hAnsi="Tahoma"/>
            <w:sz w:val="16"/>
            <w:szCs w:val="16"/>
          </w:rPr>
          <w:t>vs</w:t>
        </w:r>
        <w:r>
          <w:rPr>
            <w:rStyle w:val="InternetLink"/>
            <w:rFonts w:cs="Tahoma" w:ascii="Tahoma" w:hAnsi="Tahoma"/>
            <w:sz w:val="16"/>
            <w:szCs w:val="16"/>
            <w:lang w:val="sr-RS"/>
          </w:rPr>
          <w:t>.</w:t>
        </w:r>
        <w:r>
          <w:rPr>
            <w:rStyle w:val="InternetLink"/>
            <w:rFonts w:cs="Tahoma" w:ascii="Tahoma" w:hAnsi="Tahoma"/>
            <w:sz w:val="16"/>
            <w:szCs w:val="16"/>
          </w:rPr>
          <w:t>html</w:t>
        </w:r>
      </w:hyperlink>
      <w:r>
        <w:rPr>
          <w:rFonts w:cs="Tahoma" w:ascii="Tahoma" w:hAnsi="Tahoma"/>
          <w:sz w:val="16"/>
          <w:szCs w:val="16"/>
          <w:lang w:val="sr-RS"/>
        </w:rPr>
        <w:t xml:space="preserve"> или на </w:t>
      </w:r>
      <w:hyperlink r:id="rId38">
        <w:r>
          <w:rPr>
            <w:rStyle w:val="InternetLink"/>
            <w:rFonts w:cs="Tahoma" w:ascii="Tahoma" w:hAnsi="Tahoma"/>
            <w:sz w:val="16"/>
            <w:szCs w:val="16"/>
          </w:rPr>
          <w:t>https</w:t>
        </w:r>
        <w:r>
          <w:rPr>
            <w:rStyle w:val="InternetLink"/>
            <w:rFonts w:cs="Tahoma" w:ascii="Tahoma" w:hAnsi="Tahoma"/>
            <w:sz w:val="16"/>
            <w:szCs w:val="16"/>
            <w:lang w:val="sr-RS"/>
          </w:rPr>
          <w:t>://</w:t>
        </w:r>
        <w:r>
          <w:rPr>
            <w:rStyle w:val="InternetLink"/>
            <w:rFonts w:cs="Tahoma" w:ascii="Tahoma" w:hAnsi="Tahoma"/>
            <w:sz w:val="16"/>
            <w:szCs w:val="16"/>
          </w:rPr>
          <w:t>rsjp</w:t>
        </w:r>
        <w:r>
          <w:rPr>
            <w:rStyle w:val="InternetLink"/>
            <w:rFonts w:cs="Tahoma" w:ascii="Tahoma" w:hAnsi="Tahoma"/>
            <w:sz w:val="16"/>
            <w:szCs w:val="16"/>
            <w:lang w:val="sr-RS"/>
          </w:rPr>
          <w:t>.</w:t>
        </w:r>
        <w:r>
          <w:rPr>
            <w:rStyle w:val="InternetLink"/>
            <w:rFonts w:cs="Tahoma" w:ascii="Tahoma" w:hAnsi="Tahoma"/>
            <w:sz w:val="16"/>
            <w:szCs w:val="16"/>
          </w:rPr>
          <w:t>gov</w:t>
        </w:r>
        <w:r>
          <w:rPr>
            <w:rStyle w:val="InternetLink"/>
            <w:rFonts w:cs="Tahoma" w:ascii="Tahoma" w:hAnsi="Tahoma"/>
            <w:sz w:val="16"/>
            <w:szCs w:val="16"/>
            <w:lang w:val="sr-RS"/>
          </w:rPr>
          <w:t>.</w:t>
        </w:r>
        <w:r>
          <w:rPr>
            <w:rStyle w:val="InternetLink"/>
            <w:rFonts w:cs="Tahoma" w:ascii="Tahoma" w:hAnsi="Tahoma"/>
            <w:sz w:val="16"/>
            <w:szCs w:val="16"/>
          </w:rPr>
          <w:t>rs</w:t>
        </w:r>
        <w:r>
          <w:rPr>
            <w:rStyle w:val="InternetLink"/>
            <w:rFonts w:cs="Tahoma" w:ascii="Tahoma" w:hAnsi="Tahoma"/>
            <w:sz w:val="16"/>
            <w:szCs w:val="16"/>
            <w:lang w:val="sr-RS"/>
          </w:rPr>
          <w:t>/</w:t>
        </w:r>
        <w:r>
          <w:rPr>
            <w:rStyle w:val="InternetLink"/>
            <w:rFonts w:cs="Tahoma" w:ascii="Tahoma" w:hAnsi="Tahoma"/>
            <w:sz w:val="16"/>
            <w:szCs w:val="16"/>
          </w:rPr>
          <w:t>cir</w:t>
        </w:r>
        <w:r>
          <w:rPr>
            <w:rStyle w:val="InternetLink"/>
            <w:rFonts w:cs="Tahoma" w:ascii="Tahoma" w:hAnsi="Tahoma"/>
            <w:sz w:val="16"/>
            <w:szCs w:val="16"/>
            <w:lang w:val="sr-RS"/>
          </w:rPr>
          <w:t>/</w:t>
        </w:r>
        <w:r>
          <w:rPr>
            <w:rStyle w:val="InternetLink"/>
            <w:rFonts w:cs="Tahoma" w:ascii="Tahoma" w:hAnsi="Tahoma"/>
            <w:sz w:val="16"/>
            <w:szCs w:val="16"/>
          </w:rPr>
          <w:t>dokumenti</w:t>
        </w:r>
        <w:r>
          <w:rPr>
            <w:rStyle w:val="InternetLink"/>
            <w:rFonts w:cs="Tahoma" w:ascii="Tahoma" w:hAnsi="Tahoma"/>
            <w:sz w:val="16"/>
            <w:szCs w:val="16"/>
            <w:lang w:val="sr-RS"/>
          </w:rPr>
          <w:t>-</w:t>
        </w:r>
        <w:r>
          <w:rPr>
            <w:rStyle w:val="InternetLink"/>
            <w:rFonts w:cs="Tahoma" w:ascii="Tahoma" w:hAnsi="Tahoma"/>
            <w:sz w:val="16"/>
            <w:szCs w:val="16"/>
          </w:rPr>
          <w:t>kategorija</w:t>
        </w:r>
        <w:r>
          <w:rPr>
            <w:rStyle w:val="InternetLink"/>
            <w:rFonts w:cs="Tahoma" w:ascii="Tahoma" w:hAnsi="Tahoma"/>
            <w:sz w:val="16"/>
            <w:szCs w:val="16"/>
            <w:lang w:val="sr-RS"/>
          </w:rPr>
          <w:t>-</w:t>
        </w:r>
        <w:r>
          <w:rPr>
            <w:rStyle w:val="InternetLink"/>
            <w:rFonts w:cs="Tahoma" w:ascii="Tahoma" w:hAnsi="Tahoma"/>
            <w:sz w:val="16"/>
            <w:szCs w:val="16"/>
          </w:rPr>
          <w:t>cir</w:t>
        </w:r>
        <w:r>
          <w:rPr>
            <w:rStyle w:val="InternetLink"/>
            <w:rFonts w:cs="Tahoma" w:ascii="Tahoma" w:hAnsi="Tahoma"/>
            <w:sz w:val="16"/>
            <w:szCs w:val="16"/>
            <w:lang w:val="sr-RS"/>
          </w:rPr>
          <w:t>/</w:t>
        </w:r>
        <w:r>
          <w:rPr>
            <w:rStyle w:val="InternetLink"/>
            <w:rFonts w:cs="Tahoma" w:ascii="Tahoma" w:hAnsi="Tahoma"/>
            <w:sz w:val="16"/>
            <w:szCs w:val="16"/>
          </w:rPr>
          <w:t>djp</w:t>
        </w:r>
        <w:r>
          <w:rPr>
            <w:rStyle w:val="InternetLink"/>
            <w:rFonts w:cs="Tahoma" w:ascii="Tahoma" w:hAnsi="Tahoma"/>
            <w:sz w:val="16"/>
            <w:szCs w:val="16"/>
            <w:lang w:val="sr-RS"/>
          </w:rPr>
          <w:t>-</w:t>
        </w:r>
        <w:r>
          <w:rPr>
            <w:rStyle w:val="InternetLink"/>
            <w:rFonts w:cs="Tahoma" w:ascii="Tahoma" w:hAnsi="Tahoma"/>
            <w:sz w:val="16"/>
            <w:szCs w:val="16"/>
          </w:rPr>
          <w:t>cir</w:t>
        </w:r>
        <w:r>
          <w:rPr>
            <w:rStyle w:val="InternetLink"/>
            <w:rFonts w:cs="Tahoma" w:ascii="Tahoma" w:hAnsi="Tahoma"/>
            <w:sz w:val="16"/>
            <w:szCs w:val="16"/>
            <w:lang w:val="sr-RS"/>
          </w:rPr>
          <w:t>/</w:t>
        </w:r>
      </w:hyperlink>
      <w:r>
        <w:rPr>
          <w:rFonts w:cs="Tahoma" w:ascii="Tahoma" w:hAnsi="Tahoma"/>
          <w:sz w:val="16"/>
          <w:szCs w:val="16"/>
          <w:lang w:val="sr-RS"/>
        </w:rPr>
        <w:t xml:space="preserve"> </w:t>
      </w:r>
    </w:p>
  </w:footnote>
  <w:footnote w:id="23">
    <w:p>
      <w:pPr>
        <w:pStyle w:val="Footnotedescription"/>
        <w:spacing w:lineRule="auto" w:line="240"/>
        <w:ind w:start="0" w:hanging="0"/>
        <w:rPr>
          <w:rFonts w:eastAsia="Arial" w:eastAsiaTheme="minorHAnsi"/>
          <w:color w:val="auto"/>
          <w:kern w:val="2"/>
          <w:szCs w:val="16"/>
          <w:lang w:val="sr-RS" w:eastAsia="en-US"/>
          <w14:ligatures w14:val="standardContextual"/>
        </w:rPr>
      </w:pPr>
      <w:r>
        <w:rPr>
          <w:rStyle w:val="FootnoteCharacters"/>
        </w:rPr>
        <w:footnoteRef/>
      </w:r>
      <w:r>
        <w:rPr>
          <w:szCs w:val="16"/>
        </w:rPr>
        <w:t xml:space="preserve"> </w:t>
      </w:r>
      <w:r>
        <w:rPr>
          <w:rFonts w:eastAsia="Arial" w:eastAsiaTheme="minorHAnsi"/>
          <w:color w:val="auto"/>
          <w:kern w:val="2"/>
          <w:szCs w:val="16"/>
          <w:lang w:val="sr-RS" w:eastAsia="en-US"/>
          <w14:ligatures w14:val="standardContextual"/>
        </w:rPr>
        <w:t>„</w:t>
      </w:r>
      <w:r>
        <w:rPr>
          <w:rFonts w:eastAsia="Arial" w:eastAsiaTheme="minorHAnsi"/>
          <w:color w:val="auto"/>
          <w:kern w:val="2"/>
          <w:szCs w:val="16"/>
          <w:lang w:val="sr-RS" w:eastAsia="en-US"/>
          <w14:ligatures w14:val="standardContextual"/>
        </w:rPr>
        <w:t xml:space="preserve">Сл. Гласник РС“ бр. 24/2011 и 117/2022 – УС </w:t>
      </w:r>
    </w:p>
  </w:footnote>
  <w:footnote w:id="24">
    <w:p>
      <w:pPr>
        <w:pStyle w:val="Footnotedescription"/>
        <w:spacing w:lineRule="auto" w:line="240"/>
        <w:ind w:start="0" w:end="60" w:hanging="0"/>
        <w:rPr>
          <w:rFonts w:eastAsia="Arial" w:eastAsiaTheme="minorHAnsi"/>
          <w:color w:val="auto"/>
          <w:kern w:val="2"/>
          <w:szCs w:val="16"/>
          <w:lang w:val="sr-RS" w:eastAsia="en-US"/>
          <w14:ligatures w14:val="standardContextual"/>
        </w:rPr>
      </w:pPr>
      <w:r>
        <w:rPr>
          <w:rStyle w:val="FootnoteCharacters"/>
        </w:rPr>
        <w:footnoteRef/>
      </w:r>
      <w:r>
        <w:rPr>
          <w:szCs w:val="16"/>
        </w:rPr>
        <w:t xml:space="preserve"> </w:t>
      </w:r>
      <w:r>
        <w:rPr>
          <w:rFonts w:eastAsia="Arial" w:eastAsiaTheme="minorHAnsi"/>
          <w:color w:val="auto"/>
          <w:kern w:val="2"/>
          <w:szCs w:val="16"/>
          <w:lang w:val="sr-RS" w:eastAsia="en-US"/>
          <w14:ligatures w14:val="standardContextual"/>
        </w:rPr>
        <w:t>„</w:t>
      </w:r>
      <w:r>
        <w:rPr>
          <w:rFonts w:eastAsia="Arial" w:eastAsiaTheme="minorHAnsi"/>
          <w:color w:val="auto"/>
          <w:kern w:val="2"/>
          <w:szCs w:val="16"/>
          <w:lang w:val="sr-RS" w:eastAsia="en-US"/>
          <w14:ligatures w14:val="standardContextual"/>
        </w:rPr>
        <w:t>Сл. Гласник РС“ бр. 113/2017, 50/2018, 46/2021 - УС, 51/2021 - УС, 53/2021 - УС, 66/2021, 130/2021</w:t>
      </w:r>
    </w:p>
  </w:footnote>
  <w:footnote w:id="25">
    <w:p>
      <w:pPr>
        <w:pStyle w:val="Footnotedescription"/>
        <w:spacing w:lineRule="auto" w:line="240" w:before="0" w:after="3"/>
        <w:ind w:start="0" w:hanging="0"/>
        <w:rPr>
          <w:rFonts w:eastAsia="Arial" w:eastAsiaTheme="minorHAnsi"/>
          <w:color w:val="auto"/>
          <w:kern w:val="2"/>
          <w:szCs w:val="16"/>
          <w:lang w:val="sr-RS" w:eastAsia="en-US"/>
          <w14:ligatures w14:val="standardContextual"/>
        </w:rPr>
      </w:pPr>
      <w:r>
        <w:rPr>
          <w:rStyle w:val="FootnoteCharacters"/>
        </w:rPr>
        <w:footnoteRef/>
      </w:r>
      <w:r>
        <w:rPr>
          <w:szCs w:val="16"/>
        </w:rPr>
        <w:t xml:space="preserve"> </w:t>
      </w:r>
      <w:r>
        <w:rPr>
          <w:rFonts w:eastAsia="Arial" w:eastAsiaTheme="minorHAnsi"/>
          <w:color w:val="auto"/>
          <w:kern w:val="2"/>
          <w:szCs w:val="16"/>
          <w:lang w:val="sr-RS" w:eastAsia="en-US"/>
          <w14:ligatures w14:val="standardContextual"/>
        </w:rPr>
        <w:t>„</w:t>
      </w:r>
      <w:r>
        <w:rPr>
          <w:rFonts w:eastAsia="Arial" w:eastAsiaTheme="minorHAnsi"/>
          <w:color w:val="auto"/>
          <w:kern w:val="2"/>
          <w:szCs w:val="16"/>
          <w:lang w:val="sr-RS" w:eastAsia="en-US"/>
          <w14:ligatures w14:val="standardContextual"/>
        </w:rPr>
        <w:t xml:space="preserve">Сл. Гласник РС“ бр. 18/2005, 72/2011 и 6/2015 </w:t>
      </w:r>
    </w:p>
  </w:footnote>
  <w:footnote w:id="26">
    <w:p>
      <w:pPr>
        <w:pStyle w:val="Footnotedescription"/>
        <w:spacing w:lineRule="auto" w:line="240"/>
        <w:ind w:start="0" w:hanging="0"/>
        <w:rPr>
          <w:rFonts w:eastAsia="Arial" w:eastAsiaTheme="minorHAnsi"/>
          <w:color w:val="auto"/>
          <w:kern w:val="2"/>
          <w:szCs w:val="16"/>
          <w:lang w:val="sr-RS" w:eastAsia="en-US"/>
          <w14:ligatures w14:val="standardContextual"/>
        </w:rPr>
      </w:pPr>
      <w:r>
        <w:rPr>
          <w:rStyle w:val="FootnoteCharacters"/>
        </w:rPr>
        <w:footnoteRef/>
      </w:r>
      <w:r>
        <w:rPr>
          <w:szCs w:val="16"/>
        </w:rPr>
        <w:t xml:space="preserve"> </w:t>
      </w:r>
      <w:r>
        <w:rPr>
          <w:rFonts w:eastAsia="Arial" w:eastAsiaTheme="minorHAnsi"/>
          <w:color w:val="auto"/>
          <w:kern w:val="2"/>
          <w:szCs w:val="16"/>
          <w:lang w:val="sr-RS" w:eastAsia="en-US"/>
          <w14:ligatures w14:val="standardContextual"/>
        </w:rPr>
        <w:t xml:space="preserve">"Сл. гласник РС", бр. 14/2021 </w:t>
      </w:r>
    </w:p>
  </w:footnote>
  <w:footnote w:id="27">
    <w:p>
      <w:pPr>
        <w:pStyle w:val="Footnotedescription"/>
        <w:spacing w:lineRule="auto" w:line="240"/>
        <w:ind w:start="0" w:end="695" w:hanging="0"/>
        <w:rPr>
          <w:szCs w:val="16"/>
        </w:rPr>
      </w:pPr>
      <w:r>
        <w:rPr>
          <w:rStyle w:val="FootnoteCharacters"/>
        </w:rPr>
        <w:footnoteRef/>
      </w:r>
      <w:r>
        <w:rPr>
          <w:szCs w:val="16"/>
        </w:rPr>
        <w:t xml:space="preserve"> </w:t>
      </w:r>
      <w:r>
        <w:rPr>
          <w:rFonts w:eastAsia="Arial" w:eastAsiaTheme="minorHAnsi"/>
          <w:color w:val="auto"/>
          <w:kern w:val="2"/>
          <w:szCs w:val="16"/>
          <w:lang w:val="sr-RS" w:eastAsia="en-US"/>
          <w14:ligatures w14:val="standardContextual"/>
        </w:rPr>
        <w:t xml:space="preserve">"Сл. гласник РС", бр. 126/2021  </w:t>
      </w:r>
    </w:p>
  </w:footnote>
  <w:footnote w:id="28">
    <w:p>
      <w:pPr>
        <w:pStyle w:val="Normal"/>
        <w:spacing w:lineRule="auto" w:line="240" w:before="0" w:after="0"/>
        <w:rPr>
          <w:rFonts w:ascii="Tahoma" w:hAnsi="Tahoma" w:cs="Tahoma"/>
          <w:sz w:val="16"/>
          <w:szCs w:val="16"/>
          <w:lang w:val="sr-Latn-RS"/>
        </w:rPr>
      </w:pPr>
      <w:r>
        <w:rPr>
          <w:rStyle w:val="FootnoteCharacters"/>
        </w:rPr>
        <w:footnoteRef/>
      </w:r>
      <w:r>
        <w:rPr>
          <w:rFonts w:cs="Tahoma" w:ascii="Tahoma" w:hAnsi="Tahoma"/>
          <w:sz w:val="16"/>
          <w:szCs w:val="16"/>
          <w:lang w:val="sr-RS"/>
        </w:rPr>
        <w:t xml:space="preserve"> </w:t>
      </w:r>
      <w:r>
        <w:rPr>
          <w:rFonts w:cs="Tahoma" w:ascii="Tahoma" w:hAnsi="Tahoma"/>
          <w:sz w:val="16"/>
          <w:szCs w:val="16"/>
        </w:rPr>
        <w:t>Републичка</w:t>
      </w:r>
      <w:r>
        <w:rPr>
          <w:rFonts w:cs="Tahoma" w:ascii="Tahoma" w:hAnsi="Tahoma"/>
          <w:sz w:val="16"/>
          <w:szCs w:val="16"/>
          <w:lang w:val="sr-Latn-RS"/>
        </w:rPr>
        <w:t xml:space="preserve"> </w:t>
      </w:r>
      <w:r>
        <w:rPr>
          <w:rFonts w:cs="Tahoma" w:ascii="Tahoma" w:hAnsi="Tahoma"/>
          <w:sz w:val="16"/>
          <w:szCs w:val="16"/>
        </w:rPr>
        <w:t>влада</w:t>
      </w:r>
      <w:r>
        <w:rPr>
          <w:rFonts w:cs="Tahoma" w:ascii="Tahoma" w:hAnsi="Tahoma"/>
          <w:sz w:val="16"/>
          <w:szCs w:val="16"/>
          <w:lang w:val="sr-Latn-RS"/>
        </w:rPr>
        <w:t xml:space="preserve"> </w:t>
      </w:r>
      <w:r>
        <w:rPr>
          <w:rFonts w:cs="Tahoma" w:ascii="Tahoma" w:hAnsi="Tahoma"/>
          <w:sz w:val="16"/>
          <w:szCs w:val="16"/>
        </w:rPr>
        <w:t>финансира</w:t>
      </w:r>
      <w:r>
        <w:rPr>
          <w:rFonts w:cs="Tahoma" w:ascii="Tahoma" w:hAnsi="Tahoma"/>
          <w:sz w:val="16"/>
          <w:szCs w:val="16"/>
          <w:lang w:val="sr-Latn-RS"/>
        </w:rPr>
        <w:t xml:space="preserve"> </w:t>
      </w:r>
      <w:r>
        <w:rPr>
          <w:rFonts w:cs="Tahoma" w:ascii="Tahoma" w:hAnsi="Tahoma"/>
          <w:sz w:val="16"/>
          <w:szCs w:val="16"/>
        </w:rPr>
        <w:t>финансијску</w:t>
      </w:r>
      <w:r>
        <w:rPr>
          <w:rFonts w:cs="Tahoma" w:ascii="Tahoma" w:hAnsi="Tahoma"/>
          <w:sz w:val="16"/>
          <w:szCs w:val="16"/>
          <w:lang w:val="sr-Latn-RS"/>
        </w:rPr>
        <w:t xml:space="preserve"> </w:t>
      </w:r>
      <w:r>
        <w:rPr>
          <w:rFonts w:cs="Tahoma" w:ascii="Tahoma" w:hAnsi="Tahoma"/>
          <w:sz w:val="16"/>
          <w:szCs w:val="16"/>
        </w:rPr>
        <w:t>подршку</w:t>
      </w:r>
      <w:r>
        <w:rPr>
          <w:rFonts w:cs="Tahoma" w:ascii="Tahoma" w:hAnsi="Tahoma"/>
          <w:sz w:val="16"/>
          <w:szCs w:val="16"/>
          <w:lang w:val="sr-Latn-RS"/>
        </w:rPr>
        <w:t xml:space="preserve"> (</w:t>
      </w:r>
      <w:r>
        <w:rPr>
          <w:rFonts w:cs="Tahoma" w:ascii="Tahoma" w:hAnsi="Tahoma"/>
          <w:sz w:val="16"/>
          <w:szCs w:val="16"/>
        </w:rPr>
        <w:t>осим</w:t>
      </w:r>
      <w:r>
        <w:rPr>
          <w:rFonts w:cs="Tahoma" w:ascii="Tahoma" w:hAnsi="Tahoma"/>
          <w:sz w:val="16"/>
          <w:szCs w:val="16"/>
          <w:lang w:val="sr-Latn-RS"/>
        </w:rPr>
        <w:t xml:space="preserve"> </w:t>
      </w:r>
      <w:r>
        <w:rPr>
          <w:rFonts w:cs="Tahoma" w:ascii="Tahoma" w:hAnsi="Tahoma"/>
          <w:sz w:val="16"/>
          <w:szCs w:val="16"/>
        </w:rPr>
        <w:t>једнократне</w:t>
      </w:r>
      <w:r>
        <w:rPr>
          <w:rFonts w:cs="Tahoma" w:ascii="Tahoma" w:hAnsi="Tahoma"/>
          <w:sz w:val="16"/>
          <w:szCs w:val="16"/>
          <w:lang w:val="sr-Latn-RS"/>
        </w:rPr>
        <w:t xml:space="preserve"> </w:t>
      </w:r>
      <w:r>
        <w:rPr>
          <w:rFonts w:cs="Tahoma" w:ascii="Tahoma" w:hAnsi="Tahoma"/>
          <w:sz w:val="16"/>
          <w:szCs w:val="16"/>
        </w:rPr>
        <w:t>новчане</w:t>
      </w:r>
      <w:r>
        <w:rPr>
          <w:rFonts w:cs="Tahoma" w:ascii="Tahoma" w:hAnsi="Tahoma"/>
          <w:sz w:val="16"/>
          <w:szCs w:val="16"/>
          <w:lang w:val="sr-Latn-RS"/>
        </w:rPr>
        <w:t xml:space="preserve"> </w:t>
      </w:r>
      <w:r>
        <w:rPr>
          <w:rFonts w:cs="Tahoma" w:ascii="Tahoma" w:hAnsi="Tahoma"/>
          <w:sz w:val="16"/>
          <w:szCs w:val="16"/>
        </w:rPr>
        <w:t>помоћи</w:t>
      </w:r>
      <w:r>
        <w:rPr>
          <w:rFonts w:cs="Tahoma" w:ascii="Tahoma" w:hAnsi="Tahoma"/>
          <w:sz w:val="16"/>
          <w:szCs w:val="16"/>
          <w:lang w:val="sr-Latn-RS"/>
        </w:rPr>
        <w:t xml:space="preserve">), </w:t>
      </w:r>
      <w:r>
        <w:rPr>
          <w:rFonts w:cs="Tahoma" w:ascii="Tahoma" w:hAnsi="Tahoma"/>
          <w:sz w:val="16"/>
          <w:szCs w:val="16"/>
        </w:rPr>
        <w:t>услуге</w:t>
      </w:r>
      <w:r>
        <w:rPr>
          <w:rFonts w:cs="Tahoma" w:ascii="Tahoma" w:hAnsi="Tahoma"/>
          <w:sz w:val="16"/>
          <w:szCs w:val="16"/>
          <w:lang w:val="sr-Latn-RS"/>
        </w:rPr>
        <w:t xml:space="preserve"> </w:t>
      </w:r>
      <w:r>
        <w:rPr>
          <w:rFonts w:cs="Tahoma" w:ascii="Tahoma" w:hAnsi="Tahoma"/>
          <w:sz w:val="16"/>
          <w:szCs w:val="16"/>
        </w:rPr>
        <w:t>резиденцијалног</w:t>
      </w:r>
      <w:r>
        <w:rPr>
          <w:rFonts w:cs="Tahoma" w:ascii="Tahoma" w:hAnsi="Tahoma"/>
          <w:sz w:val="16"/>
          <w:szCs w:val="16"/>
          <w:lang w:val="sr-Latn-RS"/>
        </w:rPr>
        <w:t xml:space="preserve"> </w:t>
      </w:r>
      <w:r>
        <w:rPr>
          <w:rFonts w:cs="Tahoma" w:ascii="Tahoma" w:hAnsi="Tahoma"/>
          <w:sz w:val="16"/>
          <w:szCs w:val="16"/>
        </w:rPr>
        <w:t>и</w:t>
      </w:r>
      <w:r>
        <w:rPr>
          <w:rFonts w:cs="Tahoma" w:ascii="Tahoma" w:hAnsi="Tahoma"/>
          <w:sz w:val="16"/>
          <w:szCs w:val="16"/>
          <w:lang w:val="sr-Latn-RS"/>
        </w:rPr>
        <w:t xml:space="preserve"> </w:t>
      </w:r>
      <w:r>
        <w:rPr>
          <w:rFonts w:cs="Tahoma" w:ascii="Tahoma" w:hAnsi="Tahoma"/>
          <w:sz w:val="16"/>
          <w:szCs w:val="16"/>
        </w:rPr>
        <w:t>породичног</w:t>
      </w:r>
      <w:r>
        <w:rPr>
          <w:rFonts w:cs="Tahoma" w:ascii="Tahoma" w:hAnsi="Tahoma"/>
          <w:sz w:val="16"/>
          <w:szCs w:val="16"/>
          <w:lang w:val="sr-Latn-RS"/>
        </w:rPr>
        <w:t xml:space="preserve"> </w:t>
      </w:r>
      <w:r>
        <w:rPr>
          <w:rFonts w:cs="Tahoma" w:ascii="Tahoma" w:hAnsi="Tahoma"/>
          <w:sz w:val="16"/>
          <w:szCs w:val="16"/>
        </w:rPr>
        <w:t>смештаја</w:t>
      </w:r>
      <w:r>
        <w:rPr>
          <w:rFonts w:cs="Tahoma" w:ascii="Tahoma" w:hAnsi="Tahoma"/>
          <w:sz w:val="16"/>
          <w:szCs w:val="16"/>
          <w:lang w:val="sr-Latn-RS"/>
        </w:rPr>
        <w:t xml:space="preserve">, </w:t>
      </w:r>
      <w:r>
        <w:rPr>
          <w:rFonts w:cs="Tahoma" w:ascii="Tahoma" w:hAnsi="Tahoma"/>
          <w:sz w:val="16"/>
          <w:szCs w:val="16"/>
        </w:rPr>
        <w:t>услуге</w:t>
      </w:r>
      <w:r>
        <w:rPr>
          <w:rFonts w:cs="Tahoma" w:ascii="Tahoma" w:hAnsi="Tahoma"/>
          <w:sz w:val="16"/>
          <w:szCs w:val="16"/>
          <w:lang w:val="sr-Latn-RS"/>
        </w:rPr>
        <w:t xml:space="preserve"> </w:t>
      </w:r>
      <w:r>
        <w:rPr>
          <w:rFonts w:cs="Tahoma" w:ascii="Tahoma" w:hAnsi="Tahoma"/>
          <w:sz w:val="16"/>
          <w:szCs w:val="16"/>
        </w:rPr>
        <w:t>смештаја</w:t>
      </w:r>
      <w:r>
        <w:rPr>
          <w:rFonts w:cs="Tahoma" w:ascii="Tahoma" w:hAnsi="Tahoma"/>
          <w:sz w:val="16"/>
          <w:szCs w:val="16"/>
          <w:lang w:val="sr-Latn-RS"/>
        </w:rPr>
        <w:t xml:space="preserve"> </w:t>
      </w:r>
      <w:r>
        <w:rPr>
          <w:rFonts w:cs="Tahoma" w:ascii="Tahoma" w:hAnsi="Tahoma"/>
          <w:sz w:val="16"/>
          <w:szCs w:val="16"/>
        </w:rPr>
        <w:t>за</w:t>
      </w:r>
      <w:r>
        <w:rPr>
          <w:rFonts w:cs="Tahoma" w:ascii="Tahoma" w:hAnsi="Tahoma"/>
          <w:sz w:val="16"/>
          <w:szCs w:val="16"/>
          <w:lang w:val="sr-Latn-RS"/>
        </w:rPr>
        <w:t xml:space="preserve"> </w:t>
      </w:r>
      <w:r>
        <w:rPr>
          <w:rFonts w:cs="Tahoma" w:ascii="Tahoma" w:hAnsi="Tahoma"/>
          <w:sz w:val="16"/>
          <w:szCs w:val="16"/>
        </w:rPr>
        <w:t>жртве</w:t>
      </w:r>
      <w:r>
        <w:rPr>
          <w:rFonts w:cs="Tahoma" w:ascii="Tahoma" w:hAnsi="Tahoma"/>
          <w:sz w:val="16"/>
          <w:szCs w:val="16"/>
          <w:lang w:val="sr-Latn-RS"/>
        </w:rPr>
        <w:t xml:space="preserve"> </w:t>
      </w:r>
      <w:r>
        <w:rPr>
          <w:rFonts w:cs="Tahoma" w:ascii="Tahoma" w:hAnsi="Tahoma"/>
          <w:sz w:val="16"/>
          <w:szCs w:val="16"/>
        </w:rPr>
        <w:t>трговине</w:t>
      </w:r>
      <w:r>
        <w:rPr>
          <w:rFonts w:cs="Tahoma" w:ascii="Tahoma" w:hAnsi="Tahoma"/>
          <w:sz w:val="16"/>
          <w:szCs w:val="16"/>
          <w:lang w:val="sr-Latn-RS"/>
        </w:rPr>
        <w:t xml:space="preserve"> </w:t>
      </w:r>
      <w:r>
        <w:rPr>
          <w:rFonts w:cs="Tahoma" w:ascii="Tahoma" w:hAnsi="Tahoma"/>
          <w:sz w:val="16"/>
          <w:szCs w:val="16"/>
        </w:rPr>
        <w:t>људима</w:t>
      </w:r>
      <w:r>
        <w:rPr>
          <w:rFonts w:cs="Tahoma" w:ascii="Tahoma" w:hAnsi="Tahoma"/>
          <w:sz w:val="16"/>
          <w:szCs w:val="16"/>
          <w:lang w:val="sr-Latn-RS"/>
        </w:rPr>
        <w:t xml:space="preserve">, </w:t>
      </w:r>
      <w:r>
        <w:rPr>
          <w:rFonts w:cs="Tahoma" w:ascii="Tahoma" w:hAnsi="Tahoma"/>
          <w:sz w:val="16"/>
          <w:szCs w:val="16"/>
        </w:rPr>
        <w:t>услуге</w:t>
      </w:r>
      <w:r>
        <w:rPr>
          <w:rFonts w:cs="Tahoma" w:ascii="Tahoma" w:hAnsi="Tahoma"/>
          <w:sz w:val="16"/>
          <w:szCs w:val="16"/>
          <w:lang w:val="sr-Latn-RS"/>
        </w:rPr>
        <w:t xml:space="preserve"> </w:t>
      </w:r>
      <w:r>
        <w:rPr>
          <w:rFonts w:cs="Tahoma" w:ascii="Tahoma" w:hAnsi="Tahoma"/>
          <w:sz w:val="16"/>
          <w:szCs w:val="16"/>
        </w:rPr>
        <w:t>саветовања</w:t>
      </w:r>
      <w:r>
        <w:rPr>
          <w:rFonts w:cs="Tahoma" w:ascii="Tahoma" w:hAnsi="Tahoma"/>
          <w:sz w:val="16"/>
          <w:szCs w:val="16"/>
          <w:lang w:val="sr-Latn-RS"/>
        </w:rPr>
        <w:t xml:space="preserve"> </w:t>
      </w:r>
      <w:r>
        <w:rPr>
          <w:rFonts w:cs="Tahoma" w:ascii="Tahoma" w:hAnsi="Tahoma"/>
          <w:sz w:val="16"/>
          <w:szCs w:val="16"/>
        </w:rPr>
        <w:t>и</w:t>
      </w:r>
      <w:r>
        <w:rPr>
          <w:rFonts w:cs="Tahoma" w:ascii="Tahoma" w:hAnsi="Tahoma"/>
          <w:sz w:val="16"/>
          <w:szCs w:val="16"/>
          <w:lang w:val="sr-Latn-RS"/>
        </w:rPr>
        <w:t xml:space="preserve"> </w:t>
      </w:r>
      <w:r>
        <w:rPr>
          <w:rFonts w:cs="Tahoma" w:ascii="Tahoma" w:hAnsi="Tahoma"/>
          <w:sz w:val="16"/>
          <w:szCs w:val="16"/>
        </w:rPr>
        <w:t>обуке</w:t>
      </w:r>
      <w:r>
        <w:rPr>
          <w:rFonts w:cs="Tahoma" w:ascii="Tahoma" w:hAnsi="Tahoma"/>
          <w:sz w:val="16"/>
          <w:szCs w:val="16"/>
          <w:lang w:val="sr-Latn-RS"/>
        </w:rPr>
        <w:t xml:space="preserve"> </w:t>
      </w:r>
      <w:r>
        <w:rPr>
          <w:rFonts w:cs="Tahoma" w:ascii="Tahoma" w:hAnsi="Tahoma"/>
          <w:sz w:val="16"/>
          <w:szCs w:val="16"/>
        </w:rPr>
        <w:t>за</w:t>
      </w:r>
      <w:r>
        <w:rPr>
          <w:rFonts w:cs="Tahoma" w:ascii="Tahoma" w:hAnsi="Tahoma"/>
          <w:sz w:val="16"/>
          <w:szCs w:val="16"/>
          <w:lang w:val="sr-Latn-RS"/>
        </w:rPr>
        <w:t xml:space="preserve"> </w:t>
      </w:r>
      <w:r>
        <w:rPr>
          <w:rFonts w:cs="Tahoma" w:ascii="Tahoma" w:hAnsi="Tahoma"/>
          <w:sz w:val="16"/>
          <w:szCs w:val="16"/>
        </w:rPr>
        <w:t>хранитеље</w:t>
      </w:r>
      <w:r>
        <w:rPr>
          <w:rFonts w:cs="Tahoma" w:ascii="Tahoma" w:hAnsi="Tahoma"/>
          <w:sz w:val="16"/>
          <w:szCs w:val="16"/>
          <w:lang w:val="sr-Latn-RS"/>
        </w:rPr>
        <w:t xml:space="preserve"> </w:t>
      </w:r>
      <w:r>
        <w:rPr>
          <w:rFonts w:cs="Tahoma" w:ascii="Tahoma" w:hAnsi="Tahoma"/>
          <w:sz w:val="16"/>
          <w:szCs w:val="16"/>
        </w:rPr>
        <w:t>и</w:t>
      </w:r>
      <w:r>
        <w:rPr>
          <w:rFonts w:cs="Tahoma" w:ascii="Tahoma" w:hAnsi="Tahoma"/>
          <w:sz w:val="16"/>
          <w:szCs w:val="16"/>
          <w:lang w:val="sr-Latn-RS"/>
        </w:rPr>
        <w:t xml:space="preserve"> </w:t>
      </w:r>
      <w:r>
        <w:rPr>
          <w:rFonts w:cs="Tahoma" w:ascii="Tahoma" w:hAnsi="Tahoma"/>
          <w:sz w:val="16"/>
          <w:szCs w:val="16"/>
        </w:rPr>
        <w:t>усвојитеље</w:t>
      </w:r>
      <w:r>
        <w:rPr>
          <w:rFonts w:cs="Tahoma" w:ascii="Tahoma" w:hAnsi="Tahoma"/>
          <w:sz w:val="16"/>
          <w:szCs w:val="16"/>
          <w:lang w:val="sr-Latn-RS"/>
        </w:rPr>
        <w:t xml:space="preserve"> </w:t>
      </w:r>
      <w:r>
        <w:rPr>
          <w:rFonts w:cs="Tahoma" w:ascii="Tahoma" w:hAnsi="Tahoma"/>
          <w:sz w:val="16"/>
          <w:szCs w:val="16"/>
        </w:rPr>
        <w:t>и</w:t>
      </w:r>
      <w:r>
        <w:rPr>
          <w:rFonts w:cs="Tahoma" w:ascii="Tahoma" w:hAnsi="Tahoma"/>
          <w:sz w:val="16"/>
          <w:szCs w:val="16"/>
          <w:lang w:val="sr-Latn-RS"/>
        </w:rPr>
        <w:t xml:space="preserve"> </w:t>
      </w:r>
      <w:r>
        <w:rPr>
          <w:rFonts w:cs="Tahoma" w:ascii="Tahoma" w:hAnsi="Tahoma"/>
          <w:sz w:val="16"/>
          <w:szCs w:val="16"/>
        </w:rPr>
        <w:t>услуге</w:t>
      </w:r>
      <w:r>
        <w:rPr>
          <w:rFonts w:cs="Tahoma" w:ascii="Tahoma" w:hAnsi="Tahoma"/>
          <w:sz w:val="16"/>
          <w:szCs w:val="16"/>
          <w:lang w:val="sr-Latn-RS"/>
        </w:rPr>
        <w:t xml:space="preserve"> </w:t>
      </w:r>
      <w:r>
        <w:rPr>
          <w:rFonts w:cs="Tahoma" w:ascii="Tahoma" w:hAnsi="Tahoma"/>
          <w:sz w:val="16"/>
          <w:szCs w:val="16"/>
        </w:rPr>
        <w:t>становања</w:t>
      </w:r>
      <w:r>
        <w:rPr>
          <w:rFonts w:cs="Tahoma" w:ascii="Tahoma" w:hAnsi="Tahoma"/>
          <w:sz w:val="16"/>
          <w:szCs w:val="16"/>
          <w:lang w:val="sr-Latn-RS"/>
        </w:rPr>
        <w:t xml:space="preserve"> </w:t>
      </w:r>
      <w:r>
        <w:rPr>
          <w:rFonts w:cs="Tahoma" w:ascii="Tahoma" w:hAnsi="Tahoma"/>
          <w:sz w:val="16"/>
          <w:szCs w:val="16"/>
        </w:rPr>
        <w:t>уз</w:t>
      </w:r>
      <w:r>
        <w:rPr>
          <w:rFonts w:cs="Tahoma" w:ascii="Tahoma" w:hAnsi="Tahoma"/>
          <w:sz w:val="16"/>
          <w:szCs w:val="16"/>
          <w:lang w:val="sr-Latn-RS"/>
        </w:rPr>
        <w:t xml:space="preserve"> </w:t>
      </w:r>
      <w:r>
        <w:rPr>
          <w:rFonts w:cs="Tahoma" w:ascii="Tahoma" w:hAnsi="Tahoma"/>
          <w:sz w:val="16"/>
          <w:szCs w:val="16"/>
        </w:rPr>
        <w:t>подршку</w:t>
      </w:r>
      <w:r>
        <w:rPr>
          <w:rFonts w:cs="Tahoma" w:ascii="Tahoma" w:hAnsi="Tahoma"/>
          <w:sz w:val="16"/>
          <w:szCs w:val="16"/>
          <w:lang w:val="sr-Latn-RS"/>
        </w:rPr>
        <w:t xml:space="preserve"> </w:t>
      </w:r>
      <w:r>
        <w:rPr>
          <w:rFonts w:cs="Tahoma" w:ascii="Tahoma" w:hAnsi="Tahoma"/>
          <w:sz w:val="16"/>
          <w:szCs w:val="16"/>
        </w:rPr>
        <w:t>за</w:t>
      </w:r>
      <w:r>
        <w:rPr>
          <w:rFonts w:cs="Tahoma" w:ascii="Tahoma" w:hAnsi="Tahoma"/>
          <w:sz w:val="16"/>
          <w:szCs w:val="16"/>
          <w:lang w:val="sr-Latn-RS"/>
        </w:rPr>
        <w:t xml:space="preserve"> </w:t>
      </w:r>
      <w:r>
        <w:rPr>
          <w:rFonts w:cs="Tahoma" w:ascii="Tahoma" w:hAnsi="Tahoma"/>
          <w:sz w:val="16"/>
          <w:szCs w:val="16"/>
        </w:rPr>
        <w:t>особе</w:t>
      </w:r>
      <w:r>
        <w:rPr>
          <w:rFonts w:cs="Tahoma" w:ascii="Tahoma" w:hAnsi="Tahoma"/>
          <w:sz w:val="16"/>
          <w:szCs w:val="16"/>
          <w:lang w:val="sr-Latn-RS"/>
        </w:rPr>
        <w:t xml:space="preserve"> </w:t>
      </w:r>
      <w:r>
        <w:rPr>
          <w:rFonts w:cs="Tahoma" w:ascii="Tahoma" w:hAnsi="Tahoma"/>
          <w:sz w:val="16"/>
          <w:szCs w:val="16"/>
        </w:rPr>
        <w:t>са</w:t>
      </w:r>
      <w:r>
        <w:rPr>
          <w:rFonts w:cs="Tahoma" w:ascii="Tahoma" w:hAnsi="Tahoma"/>
          <w:sz w:val="16"/>
          <w:szCs w:val="16"/>
          <w:lang w:val="sr-Latn-RS"/>
        </w:rPr>
        <w:t xml:space="preserve"> </w:t>
      </w:r>
      <w:r>
        <w:rPr>
          <w:rFonts w:cs="Tahoma" w:ascii="Tahoma" w:hAnsi="Tahoma"/>
          <w:sz w:val="16"/>
          <w:szCs w:val="16"/>
        </w:rPr>
        <w:t>инвалидитетом</w:t>
      </w:r>
      <w:r>
        <w:rPr>
          <w:rFonts w:cs="Tahoma" w:ascii="Tahoma" w:hAnsi="Tahoma"/>
          <w:sz w:val="16"/>
          <w:szCs w:val="16"/>
          <w:lang w:val="sr-Latn-RS"/>
        </w:rPr>
        <w:t xml:space="preserve">, </w:t>
      </w:r>
      <w:r>
        <w:rPr>
          <w:rFonts w:cs="Tahoma" w:ascii="Tahoma" w:hAnsi="Tahoma"/>
          <w:sz w:val="16"/>
          <w:szCs w:val="16"/>
        </w:rPr>
        <w:t>осим</w:t>
      </w:r>
      <w:r>
        <w:rPr>
          <w:rFonts w:cs="Tahoma" w:ascii="Tahoma" w:hAnsi="Tahoma"/>
          <w:sz w:val="16"/>
          <w:szCs w:val="16"/>
          <w:lang w:val="sr-Latn-RS"/>
        </w:rPr>
        <w:t xml:space="preserve"> </w:t>
      </w:r>
      <w:r>
        <w:rPr>
          <w:rFonts w:cs="Tahoma" w:ascii="Tahoma" w:hAnsi="Tahoma"/>
          <w:sz w:val="16"/>
          <w:szCs w:val="16"/>
        </w:rPr>
        <w:t>у</w:t>
      </w:r>
      <w:r>
        <w:rPr>
          <w:rFonts w:cs="Tahoma" w:ascii="Tahoma" w:hAnsi="Tahoma"/>
          <w:sz w:val="16"/>
          <w:szCs w:val="16"/>
          <w:lang w:val="sr-Latn-RS"/>
        </w:rPr>
        <w:t xml:space="preserve"> </w:t>
      </w:r>
      <w:r>
        <w:rPr>
          <w:rFonts w:cs="Tahoma" w:ascii="Tahoma" w:hAnsi="Tahoma"/>
          <w:sz w:val="16"/>
          <w:szCs w:val="16"/>
        </w:rPr>
        <w:t>јединицама</w:t>
      </w:r>
      <w:r>
        <w:rPr>
          <w:rFonts w:cs="Tahoma" w:ascii="Tahoma" w:hAnsi="Tahoma"/>
          <w:sz w:val="16"/>
          <w:szCs w:val="16"/>
          <w:lang w:val="sr-Latn-RS"/>
        </w:rPr>
        <w:t xml:space="preserve"> </w:t>
      </w:r>
      <w:r>
        <w:rPr>
          <w:rFonts w:cs="Tahoma" w:ascii="Tahoma" w:hAnsi="Tahoma"/>
          <w:sz w:val="16"/>
          <w:szCs w:val="16"/>
        </w:rPr>
        <w:t>локалне</w:t>
      </w:r>
      <w:r>
        <w:rPr>
          <w:rFonts w:cs="Tahoma" w:ascii="Tahoma" w:hAnsi="Tahoma"/>
          <w:sz w:val="16"/>
          <w:szCs w:val="16"/>
          <w:lang w:val="sr-Latn-RS"/>
        </w:rPr>
        <w:t xml:space="preserve"> </w:t>
      </w:r>
      <w:r>
        <w:rPr>
          <w:rFonts w:cs="Tahoma" w:ascii="Tahoma" w:hAnsi="Tahoma"/>
          <w:sz w:val="16"/>
          <w:szCs w:val="16"/>
        </w:rPr>
        <w:t>самоуправе</w:t>
      </w:r>
      <w:r>
        <w:rPr>
          <w:rFonts w:cs="Tahoma" w:ascii="Tahoma" w:hAnsi="Tahoma"/>
          <w:sz w:val="16"/>
          <w:szCs w:val="16"/>
          <w:lang w:val="sr-Latn-RS"/>
        </w:rPr>
        <w:t xml:space="preserve"> </w:t>
      </w:r>
      <w:r>
        <w:rPr>
          <w:rFonts w:cs="Tahoma" w:ascii="Tahoma" w:hAnsi="Tahoma"/>
          <w:sz w:val="16"/>
          <w:szCs w:val="16"/>
        </w:rPr>
        <w:t>чији</w:t>
      </w:r>
      <w:r>
        <w:rPr>
          <w:rFonts w:cs="Tahoma" w:ascii="Tahoma" w:hAnsi="Tahoma"/>
          <w:sz w:val="16"/>
          <w:szCs w:val="16"/>
          <w:lang w:val="sr-Latn-RS"/>
        </w:rPr>
        <w:t xml:space="preserve"> </w:t>
      </w:r>
      <w:r>
        <w:rPr>
          <w:rFonts w:cs="Tahoma" w:ascii="Tahoma" w:hAnsi="Tahoma"/>
          <w:sz w:val="16"/>
          <w:szCs w:val="16"/>
        </w:rPr>
        <w:t>је</w:t>
      </w:r>
      <w:r>
        <w:rPr>
          <w:rFonts w:cs="Tahoma" w:ascii="Tahoma" w:hAnsi="Tahoma"/>
          <w:sz w:val="16"/>
          <w:szCs w:val="16"/>
          <w:lang w:val="sr-Latn-RS"/>
        </w:rPr>
        <w:t xml:space="preserve"> </w:t>
      </w:r>
      <w:r>
        <w:rPr>
          <w:rFonts w:cs="Tahoma" w:ascii="Tahoma" w:hAnsi="Tahoma"/>
          <w:sz w:val="16"/>
          <w:szCs w:val="16"/>
        </w:rPr>
        <w:t>степен</w:t>
      </w:r>
      <w:r>
        <w:rPr>
          <w:rFonts w:cs="Tahoma" w:ascii="Tahoma" w:hAnsi="Tahoma"/>
          <w:sz w:val="16"/>
          <w:szCs w:val="16"/>
          <w:lang w:val="sr-Latn-RS"/>
        </w:rPr>
        <w:t xml:space="preserve"> </w:t>
      </w:r>
      <w:r>
        <w:rPr>
          <w:rFonts w:cs="Tahoma" w:ascii="Tahoma" w:hAnsi="Tahoma"/>
          <w:sz w:val="16"/>
          <w:szCs w:val="16"/>
        </w:rPr>
        <w:t>развијености</w:t>
      </w:r>
      <w:r>
        <w:rPr>
          <w:rFonts w:cs="Tahoma" w:ascii="Tahoma" w:hAnsi="Tahoma"/>
          <w:sz w:val="16"/>
          <w:szCs w:val="16"/>
          <w:lang w:val="sr-Latn-RS"/>
        </w:rPr>
        <w:t xml:space="preserve"> </w:t>
      </w:r>
      <w:r>
        <w:rPr>
          <w:rFonts w:cs="Tahoma" w:ascii="Tahoma" w:hAnsi="Tahoma"/>
          <w:sz w:val="16"/>
          <w:szCs w:val="16"/>
        </w:rPr>
        <w:t>изнад</w:t>
      </w:r>
      <w:r>
        <w:rPr>
          <w:rFonts w:cs="Tahoma" w:ascii="Tahoma" w:hAnsi="Tahoma"/>
          <w:sz w:val="16"/>
          <w:szCs w:val="16"/>
          <w:lang w:val="sr-Latn-RS"/>
        </w:rPr>
        <w:t xml:space="preserve"> </w:t>
      </w:r>
      <w:r>
        <w:rPr>
          <w:rFonts w:cs="Tahoma" w:ascii="Tahoma" w:hAnsi="Tahoma"/>
          <w:sz w:val="16"/>
          <w:szCs w:val="16"/>
        </w:rPr>
        <w:t>републичког</w:t>
      </w:r>
      <w:r>
        <w:rPr>
          <w:rFonts w:cs="Tahoma" w:ascii="Tahoma" w:hAnsi="Tahoma"/>
          <w:sz w:val="16"/>
          <w:szCs w:val="16"/>
          <w:lang w:val="sr-Latn-RS"/>
        </w:rPr>
        <w:t xml:space="preserve"> </w:t>
      </w:r>
      <w:r>
        <w:rPr>
          <w:rFonts w:cs="Tahoma" w:ascii="Tahoma" w:hAnsi="Tahoma"/>
          <w:sz w:val="16"/>
          <w:szCs w:val="16"/>
        </w:rPr>
        <w:t>просека</w:t>
      </w:r>
      <w:r>
        <w:rPr>
          <w:rFonts w:cs="Tahoma" w:ascii="Tahoma" w:hAnsi="Tahoma"/>
          <w:sz w:val="16"/>
          <w:szCs w:val="16"/>
          <w:lang w:val="sr-Latn-RS"/>
        </w:rPr>
        <w:t>.</w:t>
      </w:r>
    </w:p>
  </w:footnote>
  <w:footnote w:id="29">
    <w:p>
      <w:pPr>
        <w:pStyle w:val="NoSpacing"/>
        <w:rPr>
          <w:rFonts w:ascii="Tahoma" w:hAnsi="Tahoma" w:cs="Tahoma"/>
          <w:sz w:val="16"/>
          <w:szCs w:val="16"/>
          <w:lang w:val="sr-Latn-RS"/>
        </w:rPr>
      </w:pPr>
      <w:r>
        <w:rPr>
          <w:rStyle w:val="FootnoteCharacters"/>
        </w:rPr>
        <w:footnoteRef/>
      </w:r>
      <w:r>
        <w:rPr>
          <w:rFonts w:cs="Tahoma" w:ascii="Tahoma" w:hAnsi="Tahoma"/>
          <w:sz w:val="16"/>
          <w:szCs w:val="16"/>
          <w:lang w:val="sr-Latn-RS"/>
        </w:rPr>
        <w:t>„</w:t>
      </w:r>
      <w:r>
        <w:rPr>
          <w:rFonts w:cs="Tahoma" w:ascii="Tahoma" w:hAnsi="Tahoma"/>
          <w:sz w:val="16"/>
          <w:szCs w:val="16"/>
          <w:lang w:val="sr-RS"/>
        </w:rPr>
        <w:t>Службени</w:t>
      </w:r>
      <w:r>
        <w:rPr>
          <w:rFonts w:cs="Tahoma" w:ascii="Tahoma" w:hAnsi="Tahoma"/>
          <w:sz w:val="16"/>
          <w:szCs w:val="16"/>
          <w:lang w:val="sr-Latn-RS"/>
        </w:rPr>
        <w:t xml:space="preserve"> </w:t>
      </w:r>
      <w:r>
        <w:rPr>
          <w:rFonts w:cs="Tahoma" w:ascii="Tahoma" w:hAnsi="Tahoma"/>
          <w:sz w:val="16"/>
          <w:szCs w:val="16"/>
          <w:lang w:val="sr-RS"/>
        </w:rPr>
        <w:t>гласник</w:t>
      </w:r>
      <w:r>
        <w:rPr>
          <w:rFonts w:cs="Tahoma" w:ascii="Tahoma" w:hAnsi="Tahoma"/>
          <w:sz w:val="16"/>
          <w:szCs w:val="16"/>
          <w:lang w:val="sr-Latn-RS"/>
        </w:rPr>
        <w:t xml:space="preserve"> </w:t>
      </w:r>
      <w:r>
        <w:rPr>
          <w:rFonts w:cs="Tahoma" w:ascii="Tahoma" w:hAnsi="Tahoma"/>
          <w:sz w:val="16"/>
          <w:szCs w:val="16"/>
          <w:lang w:val="sr-RS"/>
        </w:rPr>
        <w:t>РС</w:t>
      </w:r>
      <w:r>
        <w:rPr>
          <w:rFonts w:cs="Tahoma" w:ascii="Tahoma" w:hAnsi="Tahoma"/>
          <w:sz w:val="16"/>
          <w:szCs w:val="16"/>
          <w:lang w:val="sr-Latn-RS"/>
        </w:rPr>
        <w:t xml:space="preserve">”, </w:t>
      </w:r>
      <w:r>
        <w:rPr>
          <w:rFonts w:cs="Tahoma" w:ascii="Tahoma" w:hAnsi="Tahoma"/>
          <w:sz w:val="16"/>
          <w:szCs w:val="16"/>
          <w:lang w:val="sr-RS"/>
        </w:rPr>
        <w:t>број</w:t>
      </w:r>
      <w:r>
        <w:rPr>
          <w:rFonts w:cs="Tahoma" w:ascii="Tahoma" w:hAnsi="Tahoma"/>
          <w:sz w:val="16"/>
          <w:szCs w:val="16"/>
          <w:lang w:val="sr-Latn-RS"/>
        </w:rPr>
        <w:t xml:space="preserve"> 22/09</w:t>
      </w:r>
    </w:p>
  </w:footnote>
  <w:footnote w:id="30">
    <w:p>
      <w:pPr>
        <w:pStyle w:val="NoSpacing"/>
        <w:rPr>
          <w:rFonts w:ascii="Tahoma" w:hAnsi="Tahoma" w:cs="Tahoma"/>
          <w:sz w:val="16"/>
          <w:szCs w:val="16"/>
          <w:lang w:val="sr-RS"/>
        </w:rPr>
      </w:pPr>
      <w:r>
        <w:rPr>
          <w:rStyle w:val="FootnoteCharacters"/>
        </w:rPr>
        <w:footnoteRef/>
      </w:r>
      <w:r>
        <w:rPr>
          <w:rFonts w:cs="Tahoma" w:ascii="Tahoma" w:hAnsi="Tahoma"/>
          <w:sz w:val="16"/>
          <w:szCs w:val="16"/>
          <w:lang w:val="sr-RS"/>
        </w:rPr>
        <w:t>„</w:t>
      </w:r>
      <w:r>
        <w:rPr>
          <w:rFonts w:cs="Tahoma" w:ascii="Tahoma" w:hAnsi="Tahoma"/>
          <w:sz w:val="16"/>
          <w:szCs w:val="16"/>
          <w:lang w:val="sr-RS"/>
        </w:rPr>
        <w:t>Службени гласник РС”, бр. 33/06 и 13/16</w:t>
      </w:r>
    </w:p>
  </w:footnote>
  <w:footnote w:id="31">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"Сл. гласник РС", бр. 72/2009</w:t>
      </w:r>
    </w:p>
  </w:footnote>
  <w:footnote w:id="32">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 xml:space="preserve">Због обима референце, у наставку је линк на коме је Закон доступан: </w:t>
      </w:r>
      <w:hyperlink r:id="rId39">
        <w:r>
          <w:rPr>
            <w:rStyle w:val="InternetLink"/>
            <w:rFonts w:cs="Tahoma" w:ascii="Tahoma" w:hAnsi="Tahoma"/>
            <w:sz w:val="16"/>
            <w:szCs w:val="16"/>
            <w:lang w:val="sr-RS"/>
          </w:rPr>
          <w:t>https://pravno-informacioni-sistem.rs/eli/rep/sgrs/skupstina/zakon/2003/34/1/reg</w:t>
        </w:r>
      </w:hyperlink>
      <w:r>
        <w:rPr>
          <w:rFonts w:cs="Tahoma" w:ascii="Tahoma" w:hAnsi="Tahoma"/>
          <w:sz w:val="16"/>
          <w:szCs w:val="16"/>
          <w:lang w:val="sr-RS"/>
        </w:rPr>
        <w:t xml:space="preserve"> </w:t>
      </w:r>
    </w:p>
  </w:footnote>
  <w:footnote w:id="33">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Сл. гласник“ бр. 85/2005</w:t>
      </w:r>
    </w:p>
  </w:footnote>
  <w:footnote w:id="34">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Сл. гласник“ бр. 104/2009</w:t>
      </w:r>
    </w:p>
  </w:footnote>
  <w:footnote w:id="35">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w:t>
      </w:r>
      <w:r>
        <w:rPr>
          <w:rFonts w:cs="Tahoma" w:ascii="Tahoma" w:hAnsi="Tahoma"/>
          <w:sz w:val="16"/>
          <w:szCs w:val="16"/>
          <w:shd w:fill="FFFFFF" w:val="clear"/>
          <w:lang w:val="sr-RS"/>
        </w:rPr>
        <w:t>Сл</w:t>
      </w:r>
      <w:r>
        <w:rPr>
          <w:rFonts w:cs="Tahoma" w:ascii="Tahoma" w:hAnsi="Tahoma"/>
          <w:sz w:val="16"/>
          <w:szCs w:val="16"/>
          <w:shd w:fill="FFFFFF" w:val="clear"/>
          <w:lang w:val="sr-Latn-RS"/>
        </w:rPr>
        <w:t xml:space="preserve">. </w:t>
      </w:r>
      <w:r>
        <w:rPr>
          <w:rFonts w:cs="Tahoma" w:ascii="Tahoma" w:hAnsi="Tahoma"/>
          <w:sz w:val="16"/>
          <w:szCs w:val="16"/>
          <w:shd w:fill="FFFFFF" w:val="clear"/>
          <w:lang w:val="sr-RS"/>
        </w:rPr>
        <w:t>гласник РС”, бр. 113/2017, 50/2018, 46/2021, 51/2021, 53/2021, 66/2021</w:t>
      </w:r>
      <w:r>
        <w:rPr>
          <w:rFonts w:cs="Tahoma" w:ascii="Tahoma" w:hAnsi="Tahoma"/>
          <w:sz w:val="16"/>
          <w:szCs w:val="16"/>
          <w:lang w:val="sr-RS"/>
        </w:rPr>
        <w:t xml:space="preserve"> </w:t>
      </w:r>
    </w:p>
  </w:footnote>
  <w:footnote w:id="36">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Сл</w:t>
      </w:r>
      <w:r>
        <w:rPr>
          <w:rFonts w:cs="Tahoma" w:ascii="Tahoma" w:hAnsi="Tahoma"/>
          <w:sz w:val="16"/>
          <w:szCs w:val="16"/>
          <w:shd w:fill="FFFFFF" w:val="clear"/>
          <w:lang w:val="sr-Latn-RS"/>
        </w:rPr>
        <w:t>.</w:t>
      </w:r>
      <w:r>
        <w:rPr>
          <w:rFonts w:cs="Tahoma" w:ascii="Tahoma" w:hAnsi="Tahoma"/>
          <w:sz w:val="16"/>
          <w:szCs w:val="16"/>
          <w:shd w:fill="FFFFFF" w:val="clear"/>
          <w:lang w:val="sr-RS"/>
        </w:rPr>
        <w:t xml:space="preserve"> гласник РС”, бр. 88/2017,</w:t>
      </w:r>
      <w:r>
        <w:rPr>
          <w:rFonts w:cs="Tahoma" w:ascii="Tahoma" w:hAnsi="Tahoma"/>
          <w:sz w:val="16"/>
          <w:szCs w:val="16"/>
          <w:shd w:fill="FFFFFF" w:val="clear"/>
        </w:rPr>
        <w:t> </w:t>
      </w:r>
      <w:r>
        <w:rPr>
          <w:rFonts w:cs="Tahoma" w:ascii="Tahoma" w:hAnsi="Tahoma"/>
          <w:sz w:val="16"/>
          <w:szCs w:val="16"/>
          <w:shd w:fill="FFFFFF" w:val="clear"/>
          <w:lang w:val="sr-RS"/>
        </w:rPr>
        <w:t xml:space="preserve">27/2018, 10/2019, 6/2020 </w:t>
      </w:r>
      <w:r>
        <w:rPr>
          <w:rFonts w:cs="Tahoma" w:ascii="Tahoma" w:hAnsi="Tahoma"/>
          <w:sz w:val="16"/>
          <w:szCs w:val="16"/>
          <w:lang w:val="sr-RS"/>
        </w:rPr>
        <w:t xml:space="preserve"> </w:t>
      </w:r>
    </w:p>
  </w:footnote>
  <w:footnote w:id="37">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w:t>
      </w:r>
      <w:r>
        <w:rPr>
          <w:rFonts w:cs="Tahoma" w:ascii="Tahoma" w:hAnsi="Tahoma"/>
          <w:sz w:val="16"/>
          <w:szCs w:val="16"/>
          <w:shd w:fill="FFFFFF" w:val="clear"/>
          <w:lang w:val="sr-RS"/>
        </w:rPr>
        <w:t>Сл</w:t>
      </w:r>
      <w:r>
        <w:rPr>
          <w:rFonts w:cs="Tahoma" w:ascii="Tahoma" w:hAnsi="Tahoma"/>
          <w:sz w:val="16"/>
          <w:szCs w:val="16"/>
          <w:shd w:fill="FFFFFF" w:val="clear"/>
          <w:lang w:val="sr-Latn-RS"/>
        </w:rPr>
        <w:t xml:space="preserve">. </w:t>
      </w:r>
      <w:r>
        <w:rPr>
          <w:rFonts w:cs="Tahoma" w:ascii="Tahoma" w:hAnsi="Tahoma"/>
          <w:sz w:val="16"/>
          <w:szCs w:val="16"/>
          <w:shd w:fill="FFFFFF" w:val="clear"/>
          <w:lang w:val="sr-RS"/>
        </w:rPr>
        <w:t>гласник РС”, бр. 18/2010, 101/2017, 113/2017, 10/2019.</w:t>
      </w:r>
      <w:r>
        <w:rPr>
          <w:rFonts w:cs="Tahoma" w:ascii="Tahoma" w:hAnsi="Tahoma"/>
          <w:sz w:val="16"/>
          <w:szCs w:val="16"/>
          <w:lang w:val="sr-RS"/>
        </w:rPr>
        <w:t xml:space="preserve"> </w:t>
      </w:r>
    </w:p>
  </w:footnote>
  <w:footnote w:id="38">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w:t>
      </w:r>
      <w:r>
        <w:rPr>
          <w:rFonts w:cs="Tahoma" w:ascii="Tahoma" w:hAnsi="Tahoma"/>
          <w:sz w:val="16"/>
          <w:szCs w:val="16"/>
          <w:shd w:fill="FFFFFF" w:val="clear"/>
          <w:lang w:val="sr-RS"/>
        </w:rPr>
        <w:t>Сл</w:t>
      </w:r>
      <w:r>
        <w:rPr>
          <w:rFonts w:cs="Tahoma" w:ascii="Tahoma" w:hAnsi="Tahoma"/>
          <w:sz w:val="16"/>
          <w:szCs w:val="16"/>
          <w:shd w:fill="FFFFFF" w:val="clear"/>
          <w:lang w:val="sr-Latn-RS"/>
        </w:rPr>
        <w:t xml:space="preserve">. </w:t>
      </w:r>
      <w:r>
        <w:rPr>
          <w:rFonts w:cs="Tahoma" w:ascii="Tahoma" w:hAnsi="Tahoma"/>
          <w:sz w:val="16"/>
          <w:szCs w:val="16"/>
          <w:shd w:fill="FFFFFF" w:val="clear"/>
          <w:lang w:val="sr-RS"/>
        </w:rPr>
        <w:t>гласник РС”, бр. 55/2013, 101/2017,</w:t>
      </w:r>
      <w:r>
        <w:rPr>
          <w:rFonts w:cs="Tahoma" w:ascii="Tahoma" w:hAnsi="Tahoma"/>
          <w:sz w:val="16"/>
          <w:szCs w:val="16"/>
          <w:shd w:fill="FFFFFF" w:val="clear"/>
        </w:rPr>
        <w:t> </w:t>
      </w:r>
      <w:r>
        <w:rPr>
          <w:rFonts w:cs="Tahoma" w:ascii="Tahoma" w:hAnsi="Tahoma"/>
          <w:sz w:val="16"/>
          <w:szCs w:val="16"/>
          <w:shd w:fill="FFFFFF" w:val="clear"/>
          <w:lang w:val="sr-RS"/>
        </w:rPr>
        <w:t>27/2018, 1</w:t>
      </w:r>
      <w:r>
        <w:rPr>
          <w:rStyle w:val="Autostyle4"/>
          <w:rFonts w:cs="Tahoma" w:ascii="Tahoma" w:hAnsi="Tahoma"/>
          <w:sz w:val="16"/>
          <w:szCs w:val="16"/>
          <w:shd w:fill="FFFFFF" w:val="clear"/>
          <w:lang w:val="sr-RS"/>
        </w:rPr>
        <w:t>0/2019.</w:t>
      </w:r>
      <w:r>
        <w:rPr>
          <w:rFonts w:cs="Tahoma" w:ascii="Tahoma" w:hAnsi="Tahoma"/>
          <w:sz w:val="16"/>
          <w:szCs w:val="16"/>
          <w:lang w:val="sr-RS"/>
        </w:rPr>
        <w:t xml:space="preserve"> </w:t>
      </w:r>
    </w:p>
  </w:footnote>
  <w:footnote w:id="39">
    <w:p>
      <w:pPr>
        <w:pStyle w:val="Footnote"/>
        <w:rPr>
          <w:rFonts w:ascii="Tahoma" w:hAnsi="Tahoma" w:cs="Tahoma"/>
          <w:sz w:val="16"/>
          <w:szCs w:val="16"/>
          <w:shd w:fill="FFFFFF" w:val="clear"/>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w:t>
      </w:r>
      <w:r>
        <w:rPr>
          <w:rFonts w:cs="Tahoma" w:ascii="Tahoma" w:hAnsi="Tahoma"/>
          <w:sz w:val="16"/>
          <w:szCs w:val="16"/>
          <w:shd w:fill="FFFFFF" w:val="clear"/>
          <w:lang w:val="sr-RS"/>
        </w:rPr>
        <w:t>Сл</w:t>
      </w:r>
      <w:r>
        <w:rPr>
          <w:rFonts w:cs="Tahoma" w:ascii="Tahoma" w:hAnsi="Tahoma"/>
          <w:sz w:val="16"/>
          <w:szCs w:val="16"/>
          <w:shd w:fill="FFFFFF" w:val="clear"/>
          <w:lang w:val="sr-Latn-RS"/>
        </w:rPr>
        <w:t xml:space="preserve">. </w:t>
      </w:r>
      <w:r>
        <w:rPr>
          <w:rFonts w:cs="Tahoma" w:ascii="Tahoma" w:hAnsi="Tahoma"/>
          <w:sz w:val="16"/>
          <w:szCs w:val="16"/>
          <w:shd w:fill="FFFFFF" w:val="clear"/>
          <w:lang w:val="sr-RS"/>
        </w:rPr>
        <w:t xml:space="preserve">гласник РС”, бр. 55/2013-15, 101/2017-19, 27/2018-3 (др. закон), 6/2020-24, 52/2021-3 </w:t>
      </w:r>
    </w:p>
  </w:footnote>
  <w:footnote w:id="40">
    <w:p>
      <w:pPr>
        <w:pStyle w:val="Footnote"/>
        <w:rPr>
          <w:rFonts w:ascii="Tahoma" w:hAnsi="Tahoma" w:cs="Tahoma"/>
          <w:sz w:val="16"/>
          <w:szCs w:val="16"/>
          <w:shd w:fill="FFFFFF" w:val="clear"/>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w:t>
      </w:r>
      <w:r>
        <w:rPr>
          <w:rFonts w:cs="Tahoma" w:ascii="Tahoma" w:hAnsi="Tahoma"/>
          <w:sz w:val="16"/>
          <w:szCs w:val="16"/>
          <w:shd w:fill="FFFFFF" w:val="clear"/>
          <w:lang w:val="sr-RS"/>
        </w:rPr>
        <w:t>Сл</w:t>
      </w:r>
      <w:r>
        <w:rPr>
          <w:rFonts w:cs="Tahoma" w:ascii="Tahoma" w:hAnsi="Tahoma"/>
          <w:sz w:val="16"/>
          <w:szCs w:val="16"/>
          <w:shd w:fill="FFFFFF" w:val="clear"/>
          <w:lang w:val="sr-Latn-RS"/>
        </w:rPr>
        <w:t xml:space="preserve">. </w:t>
      </w:r>
      <w:r>
        <w:rPr>
          <w:rFonts w:cs="Tahoma" w:ascii="Tahoma" w:hAnsi="Tahoma"/>
          <w:sz w:val="16"/>
          <w:szCs w:val="16"/>
          <w:shd w:fill="FFFFFF" w:val="clear"/>
          <w:lang w:val="sr-RS"/>
        </w:rPr>
        <w:t xml:space="preserve">гласник РС”, бр. 88/2017-41, 27/2018-3 (др. закон), 73/2018-7, 67/2019-3, 6/2020-3 (др. закон), 6/2020-20 (др. закон), 11/2021-3, 67/2021-3 (др. закон), 67/2021-7 </w:t>
      </w:r>
    </w:p>
  </w:footnote>
  <w:footnote w:id="41">
    <w:p>
      <w:pPr>
        <w:pStyle w:val="Footnote"/>
        <w:rPr>
          <w:rFonts w:ascii="Tahoma" w:hAnsi="Tahoma" w:cs="Tahoma"/>
          <w:sz w:val="16"/>
          <w:szCs w:val="16"/>
          <w:shd w:fill="FFFFFF" w:val="clear"/>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w:t>
      </w:r>
      <w:r>
        <w:rPr>
          <w:rFonts w:cs="Tahoma" w:ascii="Tahoma" w:hAnsi="Tahoma"/>
          <w:sz w:val="16"/>
          <w:szCs w:val="16"/>
          <w:shd w:fill="FFFFFF" w:val="clear"/>
          <w:lang w:val="sr-RS"/>
        </w:rPr>
        <w:t>Сл</w:t>
      </w:r>
      <w:r>
        <w:rPr>
          <w:rFonts w:cs="Tahoma" w:ascii="Tahoma" w:hAnsi="Tahoma"/>
          <w:sz w:val="16"/>
          <w:szCs w:val="16"/>
          <w:shd w:fill="FFFFFF" w:val="clear"/>
          <w:lang w:val="sr-Latn-RS"/>
        </w:rPr>
        <w:t xml:space="preserve">. </w:t>
      </w:r>
      <w:r>
        <w:rPr>
          <w:rFonts w:cs="Tahoma" w:ascii="Tahoma" w:hAnsi="Tahoma"/>
          <w:sz w:val="16"/>
          <w:szCs w:val="16"/>
          <w:shd w:fill="FFFFFF" w:val="clear"/>
          <w:lang w:val="sr-RS"/>
        </w:rPr>
        <w:t xml:space="preserve">гласник РС”, бр. 18/2010-54, 55/2013-38, 27/2018-22 (др. закон), 10/2019-8 </w:t>
      </w:r>
    </w:p>
  </w:footnote>
  <w:footnote w:id="42">
    <w:p>
      <w:pPr>
        <w:pStyle w:val="Footnote"/>
        <w:rPr>
          <w:rFonts w:ascii="Tahoma" w:hAnsi="Tahoma" w:cs="Tahoma"/>
          <w:sz w:val="16"/>
          <w:szCs w:val="16"/>
          <w:shd w:fill="FFFFFF" w:val="clear"/>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Сл</w:t>
      </w:r>
      <w:r>
        <w:rPr>
          <w:rFonts w:cs="Tahoma" w:ascii="Tahoma" w:hAnsi="Tahoma"/>
          <w:sz w:val="16"/>
          <w:szCs w:val="16"/>
          <w:shd w:fill="FFFFFF" w:val="clear"/>
          <w:lang w:val="sr-Latn-RS"/>
        </w:rPr>
        <w:t xml:space="preserve">. </w:t>
      </w:r>
      <w:r>
        <w:rPr>
          <w:rFonts w:cs="Tahoma" w:ascii="Tahoma" w:hAnsi="Tahoma"/>
          <w:sz w:val="16"/>
          <w:szCs w:val="16"/>
          <w:shd w:fill="FFFFFF" w:val="clear"/>
          <w:lang w:val="sr-RS"/>
        </w:rPr>
        <w:t>гласник РС”, бр. 27/2018-13</w:t>
      </w:r>
    </w:p>
  </w:footnote>
  <w:footnote w:id="43">
    <w:p>
      <w:pPr>
        <w:pStyle w:val="Footnote"/>
        <w:rPr>
          <w:rFonts w:ascii="Tahoma" w:hAnsi="Tahoma" w:cs="Tahoma"/>
          <w:sz w:val="16"/>
          <w:szCs w:val="16"/>
          <w:shd w:fill="FFFFFF" w:val="clear"/>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w:t>
      </w:r>
      <w:r>
        <w:rPr>
          <w:rFonts w:cs="Tahoma" w:ascii="Tahoma" w:hAnsi="Tahoma"/>
          <w:sz w:val="16"/>
          <w:szCs w:val="16"/>
          <w:shd w:fill="FFFFFF" w:val="clear"/>
          <w:lang w:val="sr-RS"/>
        </w:rPr>
        <w:t>Сл</w:t>
      </w:r>
      <w:r>
        <w:rPr>
          <w:rFonts w:cs="Tahoma" w:ascii="Tahoma" w:hAnsi="Tahoma"/>
          <w:sz w:val="16"/>
          <w:szCs w:val="16"/>
          <w:shd w:fill="FFFFFF" w:val="clear"/>
          <w:lang w:val="sr-Latn-RS"/>
        </w:rPr>
        <w:t xml:space="preserve">. </w:t>
      </w:r>
      <w:r>
        <w:rPr>
          <w:rFonts w:cs="Tahoma" w:ascii="Tahoma" w:hAnsi="Tahoma"/>
          <w:sz w:val="16"/>
          <w:szCs w:val="16"/>
          <w:shd w:fill="FFFFFF" w:val="clear"/>
          <w:lang w:val="sr-RS"/>
        </w:rPr>
        <w:t>гласник РС”, бр. 36/2009-195, 30/2010-145 (др. закон), 88/2010-186, 38/2015-24, 113/2017-192 (др. закон), 113/2017-274, 49/2021-3</w:t>
      </w:r>
    </w:p>
  </w:footnote>
  <w:footnote w:id="44">
    <w:p>
      <w:pPr>
        <w:pStyle w:val="Footnote"/>
        <w:rPr>
          <w:rFonts w:ascii="Tahoma" w:hAnsi="Tahoma" w:cs="Tahoma"/>
          <w:sz w:val="16"/>
          <w:szCs w:val="16"/>
          <w:shd w:fill="FFFFFF" w:val="clear"/>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Сл. гласник РС”, бр. 25/2019-40</w:t>
      </w:r>
    </w:p>
  </w:footnote>
  <w:footnote w:id="45">
    <w:p>
      <w:pPr>
        <w:pStyle w:val="Footnote"/>
        <w:rPr>
          <w:rFonts w:ascii="Tahoma" w:hAnsi="Tahoma" w:cs="Tahoma"/>
          <w:sz w:val="16"/>
          <w:szCs w:val="16"/>
          <w:shd w:fill="FFFFFF" w:val="clear"/>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 xml:space="preserve">Сл. гласник РС”, бр. 25/2019-3 </w:t>
      </w:r>
    </w:p>
  </w:footnote>
  <w:footnote w:id="46">
    <w:p>
      <w:pPr>
        <w:pStyle w:val="Footnote"/>
        <w:rPr>
          <w:rFonts w:ascii="Tahoma" w:hAnsi="Tahoma" w:cs="Tahoma"/>
          <w:sz w:val="16"/>
          <w:szCs w:val="16"/>
          <w:shd w:fill="FFFFFF" w:val="clear"/>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Сл. гласник РС”, бр. 15/2016-25</w:t>
      </w:r>
    </w:p>
  </w:footnote>
  <w:footnote w:id="47">
    <w:p>
      <w:pPr>
        <w:pStyle w:val="Footnote"/>
        <w:rPr>
          <w:rFonts w:ascii="Tahoma" w:hAnsi="Tahoma" w:cs="Tahoma"/>
          <w:sz w:val="16"/>
          <w:szCs w:val="16"/>
          <w:shd w:fill="FFFFFF" w:val="clear"/>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Сл. гласник РС”, бр. 50/2011-3</w:t>
      </w:r>
    </w:p>
  </w:footnote>
  <w:footnote w:id="48">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Сл. гласник РС”, бр. 85/2005-30, 88/2005-51 (исправка), 107/2005-171 (исправка), 72/2009-53, 111/2009-36, 121/2012-3, 104/2013-3, 108/2014-3, 94/2016-7, 35/2019-3</w:t>
      </w:r>
    </w:p>
  </w:footnote>
  <w:footnote w:id="49">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 xml:space="preserve">Сл. гласник РС”, бр. </w:t>
      </w:r>
      <w:r>
        <w:rPr>
          <w:rFonts w:cs="Tahoma" w:ascii="Tahoma" w:hAnsi="Tahoma"/>
          <w:sz w:val="16"/>
          <w:szCs w:val="16"/>
          <w:lang w:val="sr-RS"/>
        </w:rPr>
        <w:t>20/2009-30, 145/2014-72, 47/2018-8</w:t>
      </w:r>
    </w:p>
  </w:footnote>
  <w:footnote w:id="50">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w:t>
      </w:r>
      <w:r>
        <w:rPr>
          <w:rFonts w:cs="Tahoma" w:ascii="Tahoma" w:hAnsi="Tahoma"/>
          <w:sz w:val="16"/>
          <w:szCs w:val="16"/>
          <w:shd w:fill="FFFFFF" w:val="clear"/>
          <w:lang w:val="sr-RS"/>
        </w:rPr>
        <w:t>Сл. гласник РС”, бр. 87/2018</w:t>
      </w:r>
    </w:p>
  </w:footnote>
  <w:footnote w:id="51">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w:t>
      </w:r>
      <w:r>
        <w:rPr>
          <w:rFonts w:cs="Tahoma" w:ascii="Tahoma" w:hAnsi="Tahoma"/>
          <w:sz w:val="16"/>
          <w:szCs w:val="16"/>
          <w:shd w:fill="FFFFFF" w:val="clear"/>
          <w:lang w:val="sr-RS"/>
        </w:rPr>
        <w:t>Сл. гласник РС”, бр. 126/2021</w:t>
      </w:r>
    </w:p>
  </w:footnote>
  <w:footnote w:id="52">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shd w:fill="FFFFFF" w:val="clear"/>
          <w:lang w:val="sr-RS"/>
        </w:rPr>
        <w:t>"Сл. гласник РС", бр. 107/2012</w:t>
      </w:r>
    </w:p>
  </w:footnote>
  <w:footnote w:id="53">
    <w:p>
      <w:pPr>
        <w:pStyle w:val="Footnote"/>
        <w:rPr>
          <w:rFonts w:ascii="Tahoma" w:hAnsi="Tahoma" w:cs="Tahoma"/>
          <w:sz w:val="18"/>
          <w:szCs w:val="18"/>
          <w:lang w:val="sr-RS"/>
        </w:rPr>
      </w:pPr>
      <w:r>
        <w:rPr>
          <w:rStyle w:val="FootnoteCharacters"/>
        </w:rPr>
        <w:footnoteRef/>
      </w:r>
      <w:r>
        <w:rPr>
          <w:lang w:val="sr-RS"/>
        </w:rPr>
        <w:t xml:space="preserve"> </w:t>
      </w:r>
      <w:r>
        <w:rPr>
          <w:rFonts w:cs="Tahoma" w:ascii="Tahoma" w:hAnsi="Tahoma"/>
          <w:sz w:val="18"/>
          <w:szCs w:val="18"/>
          <w:lang w:val="sr-RS"/>
        </w:rPr>
        <w:t>„</w:t>
      </w:r>
      <w:r>
        <w:rPr>
          <w:rFonts w:cs="Tahoma" w:ascii="Tahoma" w:hAnsi="Tahoma"/>
          <w:sz w:val="18"/>
          <w:szCs w:val="18"/>
          <w:lang w:val="sr-RS"/>
        </w:rPr>
        <w:t>Сл. лист Општине Беочин“ бр. 13/2023</w:t>
      </w:r>
    </w:p>
  </w:footnote>
  <w:footnote w:id="54">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color w:val="333333"/>
          <w:sz w:val="16"/>
          <w:szCs w:val="16"/>
          <w:shd w:fill="FFFFFF" w:val="clear"/>
          <w:lang w:val="sr-RS"/>
        </w:rPr>
        <w:t xml:space="preserve">"Службени гласник РС", бр. 42/2013, 89/2018, 73/2019 </w:t>
      </w:r>
      <w:hyperlink r:id="rId40">
        <w:r>
          <w:rPr>
            <w:rStyle w:val="InternetLink"/>
            <w:rFonts w:cs="Tahoma" w:ascii="Tahoma" w:hAnsi="Tahoma"/>
            <w:sz w:val="16"/>
            <w:szCs w:val="16"/>
            <w:shd w:fill="FFFFFF" w:val="clear"/>
            <w:lang w:val="sr-RS"/>
          </w:rPr>
          <w:t>https://www.pravno-informacioni-sistem.rs/SlGlasnikPortal/eli/rep/sgrs/ministarstva/pravilnik/2013/42/3/reg</w:t>
        </w:r>
      </w:hyperlink>
      <w:r>
        <w:rPr>
          <w:rFonts w:cs="Tahoma" w:ascii="Tahoma" w:hAnsi="Tahoma"/>
          <w:color w:val="333333"/>
          <w:sz w:val="16"/>
          <w:szCs w:val="16"/>
          <w:shd w:fill="FFFFFF" w:val="clear"/>
          <w:lang w:val="sr-RS"/>
        </w:rPr>
        <w:t xml:space="preserve"> </w:t>
      </w:r>
    </w:p>
  </w:footnote>
  <w:footnote w:id="55">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Закључак о усвајању Плана јавног здравља општине Беочин за период 2022 – 2025 године „Сл. лист општине Беочин“ бр 6/2022</w:t>
      </w:r>
    </w:p>
  </w:footnote>
  <w:footnote w:id="56">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Сл. лист општине Беочин“ бр. 2</w:t>
      </w:r>
      <w:r>
        <w:rPr>
          <w:rFonts w:cs="Tahoma" w:ascii="Tahoma" w:hAnsi="Tahoma"/>
          <w:sz w:val="16"/>
          <w:szCs w:val="16"/>
          <w:lang w:val="sr-Latn-RS"/>
        </w:rPr>
        <w:t>5</w:t>
      </w:r>
      <w:r>
        <w:rPr>
          <w:rFonts w:cs="Tahoma" w:ascii="Tahoma" w:hAnsi="Tahoma"/>
          <w:sz w:val="16"/>
          <w:szCs w:val="16"/>
          <w:lang w:val="sr-RS"/>
        </w:rPr>
        <w:t>/2024</w:t>
      </w:r>
    </w:p>
  </w:footnote>
  <w:footnote w:id="57">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"Сл. гласник РС", бр. 80/2018</w:t>
      </w:r>
    </w:p>
  </w:footnote>
  <w:footnote w:id="58">
    <w:p>
      <w:pPr>
        <w:pStyle w:val="Footnote"/>
        <w:widowControl w:val="false"/>
        <w:rPr>
          <w:lang w:val="sr-RS"/>
        </w:rPr>
      </w:pPr>
      <w:r>
        <w:rPr>
          <w:rStyle w:val="FootnoteCharacters"/>
        </w:rPr>
        <w:footnoteRef/>
      </w:r>
      <w:r>
        <w:rPr>
          <w:lang w:val="sr-RS"/>
        </w:rPr>
        <w:t xml:space="preserve"> </w:t>
      </w:r>
      <w:r>
        <w:rPr>
          <w:lang w:val="sr-RS"/>
        </w:rPr>
        <w:t>Циљ одрживог развоја</w:t>
      </w:r>
    </w:p>
  </w:footnote>
  <w:footnote w:id="59">
    <w:p>
      <w:pPr>
        <w:pStyle w:val="Footnotedescription"/>
        <w:rPr/>
      </w:pPr>
      <w:r>
        <w:rPr>
          <w:rStyle w:val="FootnoteCharacters"/>
        </w:rPr>
        <w:footnoteRef/>
      </w:r>
      <w:r>
        <w:rPr/>
        <w:t xml:space="preserve"> </w:t>
      </w:r>
      <w:r>
        <w:rPr/>
        <w:t>Просторни план општине Беочин</w:t>
      </w:r>
    </w:p>
  </w:footnote>
  <w:footnote w:id="60">
    <w:p>
      <w:pPr>
        <w:pStyle w:val="Footnotedescription"/>
        <w:ind w:start="0" w:hanging="0"/>
        <w:rPr/>
      </w:pPr>
      <w:r>
        <w:rPr>
          <w:rStyle w:val="FootnoteCharacters"/>
        </w:rPr>
        <w:footnoteRef/>
      </w:r>
      <w:r>
        <w:rPr/>
        <w:t xml:space="preserve"> </w:t>
      </w:r>
      <w:r>
        <w:rPr>
          <w:rFonts w:eastAsia="Calibri"/>
        </w:rPr>
        <w:t xml:space="preserve">Извор: Аналитички сервис </w:t>
      </w:r>
      <w:r>
        <w:rPr>
          <w:rFonts w:eastAsia="Calibri"/>
          <w:lang w:val="sr-RS"/>
        </w:rPr>
        <w:t xml:space="preserve">ЈЛС, </w:t>
      </w:r>
      <w:r>
        <w:rPr>
          <w:rFonts w:eastAsia="Calibri"/>
        </w:rPr>
        <w:t>РСЈП</w:t>
      </w:r>
    </w:p>
  </w:footnote>
  <w:footnote w:id="61">
    <w:p>
      <w:pPr>
        <w:pStyle w:val="Normal"/>
        <w:shd w:val="clear" w:color="auto" w:fill="FFFFFF"/>
        <w:spacing w:lineRule="auto" w:line="240" w:before="0" w:after="0"/>
        <w:jc w:val="both"/>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"Сл. гласник РС", бр. 104/2014</w:t>
      </w:r>
    </w:p>
  </w:footnote>
  <w:footnote w:id="62">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CS"/>
        </w:rPr>
        <w:t>Републички завод за статистику-</w:t>
      </w:r>
      <w:r>
        <w:rPr>
          <w:rFonts w:cs="Tahoma" w:ascii="Tahoma" w:hAnsi="Tahoma"/>
          <w:b/>
          <w:bCs/>
          <w:sz w:val="16"/>
          <w:szCs w:val="16"/>
          <w:lang w:val="sr-Latn-CS" w:eastAsia="sr-Latn-CS"/>
        </w:rPr>
        <w:t xml:space="preserve"> </w:t>
      </w:r>
      <w:r>
        <w:rPr>
          <w:rFonts w:cs="Tahoma" w:ascii="Tahoma" w:hAnsi="Tahoma"/>
          <w:bCs/>
          <w:sz w:val="16"/>
          <w:szCs w:val="16"/>
          <w:lang w:val="sr-Latn-CS" w:eastAsia="sr-Latn-CS"/>
        </w:rPr>
        <w:t>Процене становништва, 20</w:t>
      </w:r>
      <w:r>
        <w:rPr>
          <w:rFonts w:cs="Tahoma" w:ascii="Tahoma" w:hAnsi="Tahoma"/>
          <w:bCs/>
          <w:sz w:val="16"/>
          <w:szCs w:val="16"/>
          <w:lang w:val="sr-CS" w:eastAsia="sr-Latn-CS"/>
        </w:rPr>
        <w:t>22</w:t>
      </w:r>
      <w:r>
        <w:rPr>
          <w:rFonts w:cs="Tahoma" w:ascii="Tahoma" w:hAnsi="Tahoma"/>
          <w:bCs/>
          <w:sz w:val="16"/>
          <w:szCs w:val="16"/>
          <w:lang w:val="sr-Latn-CS" w:eastAsia="sr-Latn-CS"/>
        </w:rPr>
        <w:t>. C</w:t>
      </w:r>
      <w:r>
        <w:rPr>
          <w:rFonts w:cs="Tahoma" w:ascii="Tahoma" w:hAnsi="Tahoma"/>
          <w:bCs/>
          <w:sz w:val="16"/>
          <w:szCs w:val="16"/>
          <w:lang w:val="sr-CS" w:eastAsia="sr-Latn-CS"/>
        </w:rPr>
        <w:t xml:space="preserve">Н70 и </w:t>
      </w:r>
      <w:r>
        <w:rPr>
          <w:rFonts w:cs="Tahoma" w:ascii="Tahoma" w:hAnsi="Tahoma"/>
          <w:bCs/>
          <w:sz w:val="16"/>
          <w:szCs w:val="16"/>
          <w:lang w:val="sr-Latn-CS" w:eastAsia="sr-Latn-CS"/>
        </w:rPr>
        <w:t>Витални догађаји, 20</w:t>
      </w:r>
      <w:r>
        <w:rPr>
          <w:rFonts w:cs="Tahoma" w:ascii="Tahoma" w:hAnsi="Tahoma"/>
          <w:bCs/>
          <w:sz w:val="16"/>
          <w:szCs w:val="16"/>
          <w:lang w:val="sr-CS" w:eastAsia="sr-Latn-CS"/>
        </w:rPr>
        <w:t>22</w:t>
      </w:r>
      <w:r>
        <w:rPr>
          <w:rFonts w:cs="Tahoma" w:ascii="Tahoma" w:hAnsi="Tahoma"/>
          <w:bCs/>
          <w:sz w:val="16"/>
          <w:szCs w:val="16"/>
          <w:lang w:val="sr-Latn-CS" w:eastAsia="sr-Latn-CS"/>
        </w:rPr>
        <w:t>.</w:t>
      </w:r>
      <w:r>
        <w:rPr>
          <w:rFonts w:cs="Tahoma" w:ascii="Tahoma" w:hAnsi="Tahoma"/>
          <w:bCs/>
          <w:sz w:val="16"/>
          <w:szCs w:val="16"/>
          <w:lang w:val="sr-CS" w:eastAsia="sr-Latn-CS"/>
        </w:rPr>
        <w:t>- СН40</w:t>
      </w:r>
    </w:p>
  </w:footnote>
  <w:footnote w:id="63">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Latn-RS"/>
        </w:rPr>
        <w:t>Према методологији ОЕЦД-а, локална самоуправа са густином насељености испод 150 становника по км</w:t>
      </w:r>
      <w:r>
        <w:rPr>
          <w:rFonts w:cs="Tahoma" w:ascii="Tahoma" w:hAnsi="Tahoma"/>
          <w:sz w:val="16"/>
          <w:szCs w:val="16"/>
          <w:vertAlign w:val="superscript"/>
          <w:lang w:val="sr-Latn-RS"/>
        </w:rPr>
        <w:t>2</w:t>
      </w:r>
    </w:p>
  </w:footnote>
  <w:footnote w:id="64">
    <w:p>
      <w:pPr>
        <w:pStyle w:val="Footnot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CS"/>
        </w:rPr>
        <w:t>Републички завод за статистику – Витални догађаји, 2022. СН40</w:t>
      </w:r>
    </w:p>
  </w:footnote>
  <w:footnote w:id="65">
    <w:p>
      <w:pPr>
        <w:pStyle w:val="Footnote"/>
        <w:rPr>
          <w:rFonts w:ascii="Tahoma" w:hAnsi="Tahoma" w:cs="Tahoma"/>
          <w:sz w:val="16"/>
          <w:lang w:val="sr-RS"/>
        </w:rPr>
      </w:pPr>
      <w:r>
        <w:rPr>
          <w:rStyle w:val="FootnoteCharacters"/>
        </w:rPr>
        <w:footnoteRef/>
      </w:r>
      <w:r>
        <w:rPr>
          <w:lang w:val="sr-RS"/>
        </w:rPr>
        <w:t xml:space="preserve"> </w:t>
      </w:r>
      <w:r>
        <w:rPr>
          <w:rFonts w:cs="Tahoma" w:ascii="Tahoma" w:hAnsi="Tahoma"/>
          <w:sz w:val="16"/>
          <w:lang w:val="sr-RS"/>
        </w:rPr>
        <w:t xml:space="preserve">Доступно на: </w:t>
      </w:r>
      <w:hyperlink r:id="rId41">
        <w:r>
          <w:rPr>
            <w:rStyle w:val="InternetLink"/>
            <w:rFonts w:cs="Tahoma" w:ascii="Tahoma" w:hAnsi="Tahoma"/>
            <w:sz w:val="16"/>
            <w:lang w:val="sr-RS"/>
          </w:rPr>
          <w:t>https://data.stat.gov.rs/Home/Result/180107?languageCode=sr-Latn</w:t>
        </w:r>
      </w:hyperlink>
      <w:r>
        <w:rPr>
          <w:rFonts w:cs="Tahoma" w:ascii="Tahoma" w:hAnsi="Tahoma"/>
          <w:sz w:val="16"/>
          <w:lang w:val="sr-RS"/>
        </w:rPr>
        <w:t xml:space="preserve"> </w:t>
      </w:r>
    </w:p>
  </w:footnote>
  <w:footnote w:id="66">
    <w:p>
      <w:pPr>
        <w:pStyle w:val="Footnote"/>
        <w:rPr>
          <w:rFonts w:ascii="Tahoma" w:hAnsi="Tahoma" w:cs="Tahoma"/>
          <w:sz w:val="16"/>
          <w:szCs w:val="16"/>
          <w:lang w:val="sr-BA"/>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BA"/>
        </w:rPr>
        <w:t>„</w:t>
      </w:r>
      <w:r>
        <w:rPr>
          <w:rFonts w:cs="Tahoma" w:ascii="Tahoma" w:hAnsi="Tahoma"/>
          <w:sz w:val="16"/>
          <w:szCs w:val="16"/>
          <w:lang w:val="sr-BA"/>
        </w:rPr>
        <w:t xml:space="preserve">Сл. гласник РС“, бр. </w:t>
      </w:r>
      <w:r>
        <w:rPr>
          <w:rFonts w:cs="Tahoma" w:ascii="Tahoma" w:hAnsi="Tahoma"/>
          <w:sz w:val="16"/>
          <w:szCs w:val="16"/>
          <w:lang w:val="sr-RS"/>
        </w:rPr>
        <w:t xml:space="preserve">54/2009, 73/2010, 101/2010, 101/2011, 93/2012, 62/2013, 63/2013 - </w:t>
      </w:r>
      <w:r>
        <w:rPr>
          <w:rFonts w:cs="Tahoma" w:ascii="Tahoma" w:hAnsi="Tahoma"/>
          <w:sz w:val="16"/>
          <w:szCs w:val="16"/>
        </w:rPr>
        <w:t>ispr</w:t>
      </w:r>
      <w:r>
        <w:rPr>
          <w:rFonts w:cs="Tahoma" w:ascii="Tahoma" w:hAnsi="Tahoma"/>
          <w:sz w:val="16"/>
          <w:szCs w:val="16"/>
          <w:lang w:val="sr-RS"/>
        </w:rPr>
        <w:t xml:space="preserve">., 108/2013, 142/2014, 68/2015 – </w:t>
      </w:r>
      <w:r>
        <w:rPr>
          <w:rFonts w:cs="Tahoma" w:ascii="Tahoma" w:hAnsi="Tahoma"/>
          <w:sz w:val="16"/>
          <w:szCs w:val="16"/>
          <w:lang w:val="sr-BA"/>
        </w:rPr>
        <w:t xml:space="preserve">др. закон, </w:t>
      </w:r>
      <w:r>
        <w:rPr>
          <w:rFonts w:cs="Tahoma" w:ascii="Tahoma" w:hAnsi="Tahoma"/>
          <w:sz w:val="16"/>
          <w:szCs w:val="16"/>
          <w:lang w:val="sr-RS"/>
        </w:rPr>
        <w:t xml:space="preserve">103/2015, 99/2016, 113/2017, 95/2018, 31/2019, 72/2019, 149/2020, 118/2021, 138/2022, 118/2021 - </w:t>
      </w:r>
      <w:r>
        <w:rPr>
          <w:rFonts w:cs="Tahoma" w:ascii="Tahoma" w:hAnsi="Tahoma"/>
          <w:sz w:val="16"/>
          <w:szCs w:val="16"/>
          <w:lang w:val="sr-BA"/>
        </w:rPr>
        <w:t>др</w:t>
      </w:r>
      <w:r>
        <w:rPr>
          <w:rFonts w:cs="Tahoma" w:ascii="Tahoma" w:hAnsi="Tahoma"/>
          <w:sz w:val="16"/>
          <w:szCs w:val="16"/>
          <w:lang w:val="sr-RS"/>
        </w:rPr>
        <w:t xml:space="preserve">. закон </w:t>
      </w:r>
      <w:r>
        <w:rPr>
          <w:rFonts w:cs="Tahoma" w:ascii="Tahoma" w:hAnsi="Tahoma"/>
          <w:sz w:val="16"/>
          <w:szCs w:val="16"/>
          <w:lang w:val="sr-BA"/>
        </w:rPr>
        <w:t>и</w:t>
      </w:r>
      <w:r>
        <w:rPr>
          <w:rFonts w:cs="Tahoma" w:ascii="Tahoma" w:hAnsi="Tahoma"/>
          <w:sz w:val="16"/>
          <w:szCs w:val="16"/>
          <w:lang w:val="sr-RS"/>
        </w:rPr>
        <w:t xml:space="preserve"> 92/2023)</w:t>
      </w:r>
    </w:p>
  </w:footnote>
  <w:footnote w:id="67">
    <w:p>
      <w:pPr>
        <w:pStyle w:val="Footnote"/>
        <w:rPr>
          <w:rFonts w:ascii="Tahoma" w:hAnsi="Tahoma" w:cs="Tahoma"/>
          <w:sz w:val="16"/>
          <w:szCs w:val="16"/>
          <w:lang w:val="sr-BA"/>
        </w:rPr>
      </w:pPr>
      <w:r>
        <w:rPr>
          <w:rStyle w:val="FootnoteCharacters"/>
        </w:rPr>
        <w:footnoteRef/>
      </w:r>
      <w:r>
        <w:rPr>
          <w:rFonts w:cs="Tahoma" w:ascii="Tahoma" w:hAnsi="Tahoma"/>
          <w:sz w:val="16"/>
          <w:szCs w:val="16"/>
          <w:lang w:val="sr-BA"/>
        </w:rPr>
        <w:t xml:space="preserve"> „</w:t>
      </w:r>
      <w:r>
        <w:rPr>
          <w:rFonts w:cs="Tahoma" w:ascii="Tahoma" w:hAnsi="Tahoma"/>
          <w:sz w:val="16"/>
          <w:szCs w:val="16"/>
          <w:lang w:val="sr-BA"/>
        </w:rPr>
        <w:t xml:space="preserve">Сл. гласник РС“, бр. 16/2016, 49/2016, 107/2016, 46/2017, 114/2017, 20/2018, 36/2018, 93/2018, 104/2018, 14/2019, 33/2019, 68/2019, 84/2019, 151/2020, 19/2021, 66/2021, 130/2021, 144/2022, 26/2023, 83/2023 </w:t>
      </w:r>
      <w:r>
        <w:rPr>
          <w:rFonts w:cs="Tahoma" w:ascii="Tahoma" w:hAnsi="Tahoma"/>
          <w:sz w:val="16"/>
          <w:szCs w:val="16"/>
        </w:rPr>
        <w:t>i</w:t>
      </w:r>
      <w:r>
        <w:rPr>
          <w:rFonts w:cs="Tahoma" w:ascii="Tahoma" w:hAnsi="Tahoma"/>
          <w:sz w:val="16"/>
          <w:szCs w:val="16"/>
          <w:lang w:val="sr-BA"/>
        </w:rPr>
        <w:t xml:space="preserve"> 118/2023</w:t>
      </w:r>
    </w:p>
  </w:footnote>
  <w:footnote w:id="68">
    <w:p>
      <w:pPr>
        <w:pStyle w:val="Footnote"/>
        <w:jc w:val="both"/>
        <w:rPr>
          <w:rFonts w:ascii="Tahoma" w:hAnsi="Tahoma" w:cs="Tahoma"/>
          <w:sz w:val="16"/>
          <w:szCs w:val="16"/>
          <w:lang w:val="sr-BA"/>
        </w:rPr>
      </w:pPr>
      <w:r>
        <w:rPr>
          <w:rStyle w:val="FootnoteCharacters"/>
        </w:rPr>
        <w:footnoteRef/>
      </w:r>
      <w:r>
        <w:rPr/>
        <w:t xml:space="preserve"> </w:t>
      </w:r>
      <w:r>
        <w:rPr>
          <w:rFonts w:cs="Tahoma" w:ascii="Tahoma" w:hAnsi="Tahoma"/>
          <w:sz w:val="16"/>
          <w:szCs w:val="16"/>
        </w:rPr>
        <w:t>Одлука о регресирању трошкова превоза за ученике основних и средњих школа и студенте</w:t>
      </w:r>
      <w:r>
        <w:rPr>
          <w:rFonts w:cs="Tahoma" w:ascii="Tahoma" w:hAnsi="Tahoma"/>
          <w:sz w:val="16"/>
          <w:szCs w:val="16"/>
          <w:lang w:val="sr-BA"/>
        </w:rPr>
        <w:t>, 2021. год. Поред Закона о локалној самоуправи, правни основ за доношење ове Одлуке чини Закон о финансијској подршци породици са децом, чије одредбе представљају део укупне друштвене бриге о деци</w:t>
      </w:r>
    </w:p>
  </w:footnote>
  <w:footnote w:id="69">
    <w:p>
      <w:pPr>
        <w:pStyle w:val="Footnote"/>
        <w:jc w:val="both"/>
        <w:rPr>
          <w:rFonts w:ascii="Tahoma" w:hAnsi="Tahoma" w:cs="Tahoma"/>
          <w:sz w:val="16"/>
          <w:szCs w:val="16"/>
          <w:lang w:val="sr-BA"/>
        </w:rPr>
      </w:pPr>
      <w:r>
        <w:rPr>
          <w:rStyle w:val="FootnoteCharacters"/>
        </w:rPr>
        <w:footnoteRef/>
      </w:r>
      <w:r>
        <w:rPr>
          <w:rFonts w:cs="Tahoma" w:ascii="Tahoma" w:hAnsi="Tahoma"/>
          <w:sz w:val="16"/>
          <w:szCs w:val="16"/>
        </w:rPr>
        <w:t xml:space="preserve"> </w:t>
      </w:r>
      <w:r>
        <w:rPr>
          <w:rFonts w:cs="Tahoma" w:ascii="Tahoma" w:hAnsi="Tahoma"/>
          <w:sz w:val="16"/>
          <w:szCs w:val="16"/>
        </w:rPr>
        <w:t>Одлука о регресирању трошкова превоза за ученике основних и средњих школа и студенте</w:t>
      </w:r>
    </w:p>
  </w:footnote>
  <w:footnote w:id="70">
    <w:p>
      <w:pPr>
        <w:pStyle w:val="Footnote"/>
        <w:jc w:val="both"/>
        <w:rPr>
          <w:rFonts w:ascii="Tahoma" w:hAnsi="Tahoma" w:cs="Tahoma"/>
          <w:sz w:val="16"/>
          <w:szCs w:val="16"/>
          <w:lang w:val="sr-BA"/>
        </w:rPr>
      </w:pPr>
      <w:r>
        <w:rPr>
          <w:rStyle w:val="FootnoteCharacters"/>
        </w:rPr>
        <w:footnoteRef/>
      </w:r>
      <w:r>
        <w:rPr>
          <w:rFonts w:cs="Tahoma" w:ascii="Tahoma" w:hAnsi="Tahoma"/>
          <w:sz w:val="16"/>
          <w:szCs w:val="16"/>
        </w:rPr>
        <w:t xml:space="preserve"> </w:t>
      </w:r>
      <w:r>
        <w:rPr>
          <w:rFonts w:cs="Tahoma" w:ascii="Tahoma" w:hAnsi="Tahoma"/>
          <w:sz w:val="16"/>
          <w:szCs w:val="16"/>
        </w:rPr>
        <w:t>Одлука о стипендирању ученика; Одлука о стипендирању студената; Одлука о стипендирању студената ромске националности</w:t>
      </w:r>
    </w:p>
  </w:footnote>
  <w:footnote w:id="71">
    <w:p>
      <w:pPr>
        <w:pStyle w:val="Footnote"/>
        <w:rPr>
          <w:lang w:val="sr-BA"/>
        </w:rPr>
      </w:pPr>
      <w:r>
        <w:rPr>
          <w:rStyle w:val="FootnoteCharacters"/>
        </w:rPr>
        <w:footnoteRef/>
      </w:r>
      <w:r>
        <w:rPr/>
        <w:t xml:space="preserve"> </w:t>
      </w:r>
      <w:bookmarkStart w:id="46" w:name="_GoBack_Copy_1_Copy_1_Copy_1_Copy_1_Copy"/>
      <w:r>
        <w:rPr>
          <w:rFonts w:cs="Tahoma" w:ascii="Tahoma" w:hAnsi="Tahoma"/>
          <w:sz w:val="16"/>
          <w:szCs w:val="16"/>
        </w:rPr>
        <w:t>Одлука о праву бораца, војних инвалида и цивилних инвалида рата на субвенционисану цену комуналних услуга</w:t>
      </w:r>
      <w:bookmarkEnd w:id="46"/>
    </w:p>
  </w:footnote>
  <w:footnote w:id="72">
    <w:p>
      <w:pPr>
        <w:pStyle w:val="Normal"/>
        <w:widowControl w:val="false"/>
        <w:shd w:val="clear" w:color="auto" w:fill="FFFFFF"/>
        <w:spacing w:before="0" w:after="0"/>
        <w:jc w:val="both"/>
        <w:rPr>
          <w:rFonts w:ascii="Tahoma" w:hAnsi="Tahoma" w:cs="Tahoma"/>
          <w:sz w:val="18"/>
          <w:szCs w:val="20"/>
          <w:lang w:val="sr-RS"/>
        </w:rPr>
      </w:pPr>
      <w:r>
        <w:rPr>
          <w:rStyle w:val="FootnoteCharacters"/>
        </w:rPr>
        <w:footnoteRef/>
      </w:r>
      <w:r>
        <w:rPr>
          <w:lang w:val="sr-RS"/>
        </w:rPr>
        <w:t xml:space="preserve"> </w:t>
      </w:r>
      <w:r>
        <w:rPr>
          <w:rFonts w:cs="Tahoma" w:ascii="Tahoma" w:hAnsi="Tahoma"/>
          <w:sz w:val="18"/>
          <w:szCs w:val="20"/>
          <w:lang w:val="sr-RS"/>
        </w:rPr>
        <w:t>"Сл. гласник РС", бр. 104/2014</w:t>
      </w:r>
    </w:p>
    <w:p>
      <w:pPr>
        <w:pStyle w:val="Footnote"/>
        <w:widowControl w:val="false"/>
        <w:rPr>
          <w:lang w:val="sr-RS"/>
        </w:rPr>
      </w:pPr>
      <w:r>
        <w:rPr/>
      </w:r>
    </w:p>
  </w:footnote>
  <w:footnote w:id="73">
    <w:p>
      <w:pPr>
        <w:pStyle w:val="Footnote"/>
        <w:widowControl w:val="fals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Збир средстава излистаних под припадајућим активностима за односну меру</w:t>
      </w:r>
    </w:p>
  </w:footnote>
  <w:footnote w:id="74">
    <w:p>
      <w:pPr>
        <w:pStyle w:val="Footnote"/>
        <w:widowControl w:val="false"/>
        <w:jc w:val="both"/>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За типологију мера погледати Уредбу о управљању јавним политикама, чл. 53 (регулаторне; подстицајне; информативно-едукативне; организационо-управљачко-институционалне, или мере обезбеђења добара, односно пружања услуга од стране учесника у планском систему)</w:t>
      </w:r>
    </w:p>
  </w:footnote>
  <w:footnote w:id="75">
    <w:p>
      <w:pPr>
        <w:pStyle w:val="Footnote"/>
        <w:widowControl w:val="fals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Збир средстава излистаних под припадајућим активностима за односну меру</w:t>
      </w:r>
    </w:p>
  </w:footnote>
  <w:footnote w:id="76">
    <w:p>
      <w:pPr>
        <w:pStyle w:val="Footnote"/>
        <w:widowControl w:val="false"/>
        <w:jc w:val="both"/>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За типологију мера погледати Уредбу о управљању јавним политикама, чл. 53 (регулаторне; подстицајне; информативно-едукативне; организационо-управљачко-институционалне, или мере обезбеђења добара, односно пружања услуга од стране учесника у планском систему)</w:t>
      </w:r>
    </w:p>
  </w:footnote>
  <w:footnote w:id="77">
    <w:p>
      <w:pPr>
        <w:pStyle w:val="Footnote"/>
        <w:widowControl w:val="fals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Збир средстава излистаних под припадајућим активностима за односну меру</w:t>
      </w:r>
    </w:p>
  </w:footnote>
  <w:footnote w:id="78">
    <w:p>
      <w:pPr>
        <w:pStyle w:val="Footnote"/>
        <w:widowControl w:val="false"/>
        <w:jc w:val="both"/>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За типологију мера погледати Уредбу о управљању јавним политикама, чл. 53 (регулаторне; подстицајне; информативно-едукативне; организационо-управљачко-институционалне, или мере обезбеђења добара, односно пружања услуга од стране учесника у планском систему)</w:t>
      </w:r>
    </w:p>
  </w:footnote>
  <w:footnote w:id="79">
    <w:p>
      <w:pPr>
        <w:pStyle w:val="Footnote"/>
        <w:widowControl w:val="fals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Збир средстава излистаних под припадајућим активностима за односну меру</w:t>
      </w:r>
    </w:p>
  </w:footnote>
  <w:footnote w:id="80">
    <w:p>
      <w:pPr>
        <w:pStyle w:val="Footnote"/>
        <w:widowControl w:val="false"/>
        <w:jc w:val="both"/>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За типологију мера погледати Уредбу о управљању јавним политикама, чл. 53 (регулаторне; подстицајне; информативно-едукативне; организационо-управљачко-институционалне, или мере обезбеђења добара, односно пружања услуга од стране учесника у планском систему)</w:t>
      </w:r>
    </w:p>
  </w:footnote>
  <w:footnote w:id="81">
    <w:p>
      <w:pPr>
        <w:pStyle w:val="Footnote"/>
        <w:widowControl w:val="fals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Збир средстава излистаних под припадајућим активностима за односну меру</w:t>
      </w:r>
    </w:p>
  </w:footnote>
  <w:footnote w:id="82">
    <w:p>
      <w:pPr>
        <w:pStyle w:val="Footnote"/>
        <w:widowControl w:val="false"/>
        <w:jc w:val="both"/>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За типологију мера погледати Уредбу о управљању јавним политикама, чл. 53 (регулаторне; подстицајне; информативно-едукативне; организационо-управљачко-институционалне, или мере обезбеђења добара, односно пружања услуга од стране учесника у планском систему)</w:t>
      </w:r>
    </w:p>
  </w:footnote>
  <w:footnote w:id="83">
    <w:p>
      <w:pPr>
        <w:pStyle w:val="Footnote"/>
        <w:widowControl w:val="fals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Збир средстава излистаних под припадајућим активностима за односну меру</w:t>
      </w:r>
    </w:p>
  </w:footnote>
  <w:footnote w:id="84">
    <w:p>
      <w:pPr>
        <w:pStyle w:val="Footnote"/>
        <w:widowControl w:val="false"/>
        <w:jc w:val="both"/>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За типологију мера погледати Уредбу о управљању јавним политикама, чл. 53 (регулаторне; подстицајне; информативно-едукативне; организационо-управљачко-институционалне, или мере обезбеђења добара, односно пружања услуга од стране учесника у планском систему)</w:t>
      </w:r>
    </w:p>
  </w:footnote>
  <w:footnote w:id="85">
    <w:p>
      <w:pPr>
        <w:pStyle w:val="Footnote"/>
        <w:widowControl w:val="false"/>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Збир средстава излистаних под припадајућим активностима за односну меру</w:t>
      </w:r>
    </w:p>
  </w:footnote>
  <w:footnote w:id="86">
    <w:p>
      <w:pPr>
        <w:pStyle w:val="Footnote"/>
        <w:widowControl w:val="false"/>
        <w:jc w:val="both"/>
        <w:rPr>
          <w:rFonts w:ascii="Tahoma" w:hAnsi="Tahoma" w:cs="Tahoma"/>
          <w:sz w:val="16"/>
          <w:szCs w:val="16"/>
          <w:lang w:val="sr-RS"/>
        </w:rPr>
      </w:pPr>
      <w:r>
        <w:rPr>
          <w:rStyle w:val="FootnoteCharacters"/>
        </w:rPr>
        <w:footnoteRef/>
      </w:r>
      <w:r>
        <w:rPr>
          <w:rFonts w:cs="Tahoma" w:ascii="Tahoma" w:hAnsi="Tahoma"/>
          <w:sz w:val="16"/>
          <w:szCs w:val="16"/>
          <w:lang w:val="sr-RS"/>
        </w:rPr>
        <w:t xml:space="preserve"> </w:t>
      </w:r>
      <w:r>
        <w:rPr>
          <w:rFonts w:cs="Tahoma" w:ascii="Tahoma" w:hAnsi="Tahoma"/>
          <w:sz w:val="16"/>
          <w:szCs w:val="16"/>
          <w:lang w:val="sr-RS"/>
        </w:rPr>
        <w:t>За типологију мера погледати Уредбу о управљању јавним политикама, чл. 53 (регулаторне; подстицајне; информативно-едукативне; организационо-управљачко-институционалне, или мере обезбеђења добара, односно пружања услуга од стране учесника у планском систему)</w:t>
      </w:r>
    </w:p>
  </w:footnote>
  <w:footnote w:id="87">
    <w:p>
      <w:pPr>
        <w:pStyle w:val="Footnote"/>
        <w:widowControl w:val="false"/>
        <w:rPr>
          <w:rFonts w:ascii="Tahoma" w:hAnsi="Tahoma" w:cs="Tahoma"/>
          <w:lang w:val="sr-RS"/>
        </w:rPr>
      </w:pPr>
      <w:r>
        <w:rPr>
          <w:rStyle w:val="FootnoteCharacters"/>
        </w:rPr>
        <w:footnoteRef/>
      </w:r>
      <w:r>
        <w:rPr>
          <w:rFonts w:cs="Tahoma" w:ascii="Tahoma" w:hAnsi="Tahoma"/>
          <w:lang w:val="sr-CS"/>
        </w:rPr>
        <w:t xml:space="preserve"> </w:t>
      </w:r>
      <w:r>
        <w:rPr>
          <w:rFonts w:cs="Tahoma" w:ascii="Tahoma" w:hAnsi="Tahoma"/>
          <w:sz w:val="16"/>
          <w:lang w:val="sr-RS"/>
        </w:rPr>
        <w:t>С</w:t>
      </w:r>
      <w:r>
        <w:rPr>
          <w:rFonts w:cs="Tahoma" w:ascii="Tahoma" w:hAnsi="Tahoma"/>
          <w:sz w:val="16"/>
          <w:lang w:val="sr-CS"/>
        </w:rPr>
        <w:t>ва деца под старатељством: и у породици и на смештај</w:t>
      </w:r>
      <w:r>
        <w:rPr>
          <w:rFonts w:cs="Tahoma" w:ascii="Tahoma" w:hAnsi="Tahoma"/>
          <w:sz w:val="16"/>
          <w:lang w:val="sr-RS"/>
        </w:rPr>
        <w:t>у</w:t>
      </w:r>
    </w:p>
  </w:footnote>
  <w:footnote w:id="88">
    <w:p>
      <w:pPr>
        <w:pStyle w:val="Footnote"/>
        <w:widowControl w:val="false"/>
        <w:rPr>
          <w:lang w:val="sr-RS"/>
        </w:rPr>
      </w:pPr>
      <w:r>
        <w:rPr>
          <w:rStyle w:val="FootnoteCharacters"/>
        </w:rPr>
        <w:footnoteRef/>
      </w:r>
      <w:r>
        <w:rPr>
          <w:lang w:val="sr-RS"/>
        </w:rPr>
        <w:t xml:space="preserve"> </w:t>
      </w:r>
      <w:r>
        <w:rPr>
          <w:rFonts w:cs="Tahoma" w:ascii="Tahoma" w:hAnsi="Tahoma"/>
          <w:bCs/>
          <w:color w:val="000000"/>
          <w:kern w:val="0"/>
          <w:sz w:val="16"/>
          <w:szCs w:val="16"/>
          <w:lang w:val="sr-RS"/>
          <w14:ligatures w14:val="none"/>
        </w:rPr>
        <w:t>С</w:t>
      </w:r>
      <w:r>
        <w:rPr>
          <w:rFonts w:cs="Tahoma" w:ascii="Tahoma" w:hAnsi="Tahoma"/>
          <w:bCs/>
          <w:color w:val="000000"/>
          <w:kern w:val="0"/>
          <w:sz w:val="16"/>
          <w:szCs w:val="16"/>
          <w:lang w:val="sr-Latn-RS"/>
          <w14:ligatures w14:val="none"/>
        </w:rPr>
        <w:t>ви пунолетни корисници под старатељством: и у породици и на смештај</w:t>
      </w:r>
      <w:r>
        <w:rPr>
          <w:rFonts w:cs="Tahoma" w:ascii="Tahoma" w:hAnsi="Tahoma"/>
          <w:bCs/>
          <w:color w:val="000000"/>
          <w:kern w:val="0"/>
          <w:sz w:val="16"/>
          <w:szCs w:val="16"/>
          <w:lang w:val="sr-RS"/>
          <w14:ligatures w14:val="none"/>
        </w:rPr>
        <w:t>у</w:t>
      </w:r>
    </w:p>
  </w:footnote>
  <w:footnote w:id="89">
    <w:p>
      <w:pPr>
        <w:pStyle w:val="Footnote"/>
        <w:rPr>
          <w:rFonts w:ascii="Tahoma" w:hAnsi="Tahoma" w:cs="Tahoma"/>
          <w:sz w:val="18"/>
          <w:szCs w:val="18"/>
          <w:lang w:val="sr-RS"/>
        </w:rPr>
      </w:pPr>
      <w:r>
        <w:rPr>
          <w:rStyle w:val="FootnoteCharacters"/>
        </w:rPr>
        <w:footnoteRef/>
      </w:r>
      <w:r>
        <w:rPr>
          <w:rFonts w:cs="Tahoma" w:ascii="Tahoma" w:hAnsi="Tahoma"/>
          <w:sz w:val="18"/>
          <w:szCs w:val="18"/>
          <w:lang w:val="sr-RS"/>
        </w:rPr>
        <w:t xml:space="preserve"> „</w:t>
      </w:r>
      <w:r>
        <w:rPr>
          <w:rFonts w:cs="Tahoma" w:ascii="Tahoma" w:hAnsi="Tahoma"/>
          <w:sz w:val="18"/>
          <w:szCs w:val="18"/>
          <w:lang w:val="sr-Latn-RS"/>
        </w:rPr>
        <w:t>Сл</w:t>
      </w:r>
      <w:r>
        <w:rPr>
          <w:rFonts w:cs="Tahoma" w:ascii="Tahoma" w:hAnsi="Tahoma"/>
          <w:sz w:val="18"/>
          <w:szCs w:val="18"/>
          <w:lang w:val="sr-RS"/>
        </w:rPr>
        <w:t>.</w:t>
      </w:r>
      <w:r>
        <w:rPr>
          <w:rFonts w:cs="Tahoma" w:ascii="Tahoma" w:hAnsi="Tahoma"/>
          <w:sz w:val="18"/>
          <w:szCs w:val="18"/>
          <w:lang w:val="sr-Latn-RS"/>
        </w:rPr>
        <w:t xml:space="preserve"> лист општине Беочин“ бр.3/2014,</w:t>
      </w:r>
      <w:r>
        <w:rPr>
          <w:rFonts w:cs="Tahoma" w:ascii="Tahoma" w:hAnsi="Tahoma"/>
          <w:sz w:val="18"/>
          <w:szCs w:val="18"/>
          <w:lang w:val="sr-RS"/>
        </w:rPr>
        <w:t xml:space="preserve"> </w:t>
      </w:r>
      <w:r>
        <w:rPr>
          <w:rFonts w:cs="Tahoma" w:ascii="Tahoma" w:hAnsi="Tahoma"/>
          <w:sz w:val="18"/>
          <w:szCs w:val="18"/>
          <w:lang w:val="sr-Latn-RS"/>
        </w:rPr>
        <w:t>15/2016 и 6/2017</w:t>
      </w:r>
    </w:p>
  </w:footnote>
  <w:footnote w:id="90">
    <w:p>
      <w:pPr>
        <w:pStyle w:val="Footnote"/>
        <w:rPr>
          <w:rFonts w:ascii="Tahoma" w:hAnsi="Tahoma" w:cs="Tahoma"/>
          <w:sz w:val="18"/>
          <w:szCs w:val="18"/>
          <w:lang w:val="sr-RS"/>
        </w:rPr>
      </w:pPr>
      <w:r>
        <w:rPr>
          <w:rStyle w:val="FootnoteCharacters"/>
        </w:rPr>
        <w:footnoteRef/>
      </w:r>
      <w:r>
        <w:rPr>
          <w:rFonts w:cs="Tahoma" w:ascii="Tahoma" w:hAnsi="Tahoma"/>
          <w:sz w:val="18"/>
          <w:szCs w:val="18"/>
          <w:lang w:val="sr-RS"/>
        </w:rPr>
        <w:t xml:space="preserve"> „</w:t>
      </w:r>
      <w:r>
        <w:rPr>
          <w:rFonts w:cs="Tahoma" w:ascii="Tahoma" w:hAnsi="Tahoma"/>
          <w:sz w:val="18"/>
          <w:szCs w:val="18"/>
          <w:lang w:val="sr-RS"/>
        </w:rPr>
        <w:t>Сл. лист Општине Беочин“ бр. 11/2022 и 9/2023</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jc w:val="center"/>
      <w:rPr>
        <w:rFonts w:ascii="Tahoma" w:hAnsi="Tahoma" w:cs="Tahoma"/>
        <w:sz w:val="20"/>
        <w:szCs w:val="40"/>
        <w:lang w:val="sr-RS"/>
      </w:rPr>
    </w:pPr>
    <w:r>
      <w:rPr>
        <w:rFonts w:cs="Tahoma" w:ascii="Tahoma" w:hAnsi="Tahoma"/>
        <w:sz w:val="20"/>
        <w:szCs w:val="40"/>
        <w:lang w:val="sr-RS"/>
      </w:rPr>
    </w:r>
  </w:p>
  <w:p>
    <w:pPr>
      <w:pStyle w:val="Header"/>
      <w:spacing w:before="0" w:after="160"/>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eader"/>
      <w:spacing w:before="0" w:after="160"/>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jc w:val="center"/>
      <w:rPr>
        <w:rFonts w:ascii="Tahoma" w:hAnsi="Tahoma" w:cs="Tahoma"/>
        <w:sz w:val="20"/>
        <w:szCs w:val="40"/>
        <w:lang w:val="sr-RS"/>
      </w:rPr>
    </w:pPr>
    <w:r>
      <w:rPr>
        <w:rFonts w:cs="Tahoma" w:ascii="Tahoma" w:hAnsi="Tahoma"/>
        <w:sz w:val="20"/>
        <w:szCs w:val="40"/>
        <w:lang w:val="sr-RS"/>
      </w:rPr>
      <w:t>Програм унапређења социјалне заштите у општини Беочин за период од 2025. до 2030. године</w:t>
    </w:r>
  </w:p>
  <w:p>
    <w:pPr>
      <w:pStyle w:val="Header"/>
      <w:spacing w:before="0" w:after="160"/>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rmal"/>
      <w:jc w:val="center"/>
      <w:rPr>
        <w:rFonts w:ascii="Tahoma" w:hAnsi="Tahoma" w:cs="Tahoma"/>
        <w:sz w:val="20"/>
        <w:szCs w:val="40"/>
        <w:lang w:val="sr-RS"/>
      </w:rPr>
    </w:pPr>
    <w:r>
      <w:rPr>
        <w:rFonts w:cs="Tahoma" w:ascii="Tahoma" w:hAnsi="Tahoma"/>
        <w:sz w:val="20"/>
        <w:szCs w:val="40"/>
        <w:lang w:val="sr-RS"/>
      </w:rPr>
      <w:t>Програм унапређења социјалне заштите у општини Беочин за период од 2025. до 2030. године</w:t>
    </w:r>
  </w:p>
  <w:p>
    <w:pPr>
      <w:pStyle w:val="Header"/>
      <w:spacing w:before="0" w:after="160"/>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start"/>
      <w:pPr>
        <w:tabs>
          <w:tab w:val="num" w:pos="0"/>
        </w:tabs>
        <w:ind w:start="720" w:hanging="360"/>
      </w:pPr>
    </w:lvl>
    <w:lvl w:ilvl="1">
      <w:start w:val="1"/>
      <w:numFmt w:val="decimal"/>
      <w:lvlText w:val="%1.%2."/>
      <w:lvlJc w:val="start"/>
      <w:pPr>
        <w:tabs>
          <w:tab w:val="num" w:pos="0"/>
        </w:tabs>
        <w:ind w:start="3698" w:hanging="720"/>
      </w:pPr>
      <w:rPr>
        <w:sz w:val="28"/>
        <w:szCs w:val="28"/>
      </w:rPr>
    </w:lvl>
    <w:lvl w:ilvl="2">
      <w:start w:val="1"/>
      <w:numFmt w:val="decimal"/>
      <w:lvlText w:val="%1.%2.%3."/>
      <w:lvlJc w:val="start"/>
      <w:pPr>
        <w:tabs>
          <w:tab w:val="num" w:pos="0"/>
        </w:tabs>
        <w:ind w:start="8092" w:hanging="720"/>
      </w:pPr>
      <w:rPr>
        <w:b w:val="false"/>
        <w:rFonts w:ascii="Tahoma" w:hAnsi="Tahoma" w:cs="Tahoma"/>
        <w:color w:val="0070C0"/>
      </w:rPr>
    </w:lvl>
    <w:lvl w:ilvl="3">
      <w:start w:val="1"/>
      <w:numFmt w:val="decimal"/>
      <w:lvlText w:val="%1.%2.%3.%4."/>
      <w:lvlJc w:val="start"/>
      <w:pPr>
        <w:tabs>
          <w:tab w:val="num" w:pos="0"/>
        </w:tabs>
        <w:ind w:start="1440" w:hanging="1080"/>
      </w:pPr>
    </w:lvl>
    <w:lvl w:ilvl="4">
      <w:start w:val="1"/>
      <w:numFmt w:val="decimal"/>
      <w:lvlText w:val="%1.%2.%3.%4.%5."/>
      <w:lvlJc w:val="start"/>
      <w:pPr>
        <w:tabs>
          <w:tab w:val="num" w:pos="0"/>
        </w:tabs>
        <w:ind w:start="1440" w:hanging="1080"/>
      </w:pPr>
    </w:lvl>
    <w:lvl w:ilvl="5">
      <w:start w:val="1"/>
      <w:numFmt w:val="decimal"/>
      <w:lvlText w:val="%1.%2.%3.%4.%5.%6."/>
      <w:lvlJc w:val="start"/>
      <w:pPr>
        <w:tabs>
          <w:tab w:val="num" w:pos="0"/>
        </w:tabs>
        <w:ind w:start="1800" w:hanging="1440"/>
      </w:pPr>
    </w:lvl>
    <w:lvl w:ilvl="6">
      <w:start w:val="1"/>
      <w:numFmt w:val="decimal"/>
      <w:lvlText w:val="%1.%2.%3.%4.%5.%6.%7."/>
      <w:lvlJc w:val="start"/>
      <w:pPr>
        <w:tabs>
          <w:tab w:val="num" w:pos="0"/>
        </w:tabs>
        <w:ind w:start="1800" w:hanging="1440"/>
      </w:pPr>
    </w:lvl>
    <w:lvl w:ilvl="7">
      <w:start w:val="1"/>
      <w:numFmt w:val="decimal"/>
      <w:lvlText w:val="%1.%2.%3.%4.%5.%6.%7.%8."/>
      <w:lvlJc w:val="start"/>
      <w:pPr>
        <w:tabs>
          <w:tab w:val="num" w:pos="0"/>
        </w:tabs>
        <w:ind w:start="2160" w:hanging="1800"/>
      </w:pPr>
    </w:lvl>
    <w:lvl w:ilvl="8">
      <w:start w:val="1"/>
      <w:numFmt w:val="decimal"/>
      <w:lvlText w:val="%1.%2.%3.%4.%5.%6.%7.%8.%9."/>
      <w:lvlJc w:val="start"/>
      <w:pPr>
        <w:tabs>
          <w:tab w:val="num" w:pos="0"/>
        </w:tabs>
        <w:ind w:start="2160" w:hanging="1800"/>
      </w:pPr>
    </w:lvl>
  </w:abstractNum>
  <w:abstractNum w:abstractNumId="2">
    <w:lvl w:ilvl="0">
      <w:start w:val="1"/>
      <w:numFmt w:val="bullet"/>
      <w:lvlText w:val=""/>
      <w:lvlJc w:val="start"/>
      <w:pPr>
        <w:tabs>
          <w:tab w:val="num" w:pos="0"/>
        </w:tabs>
        <w:ind w:start="739" w:hanging="360"/>
      </w:pPr>
      <w:rPr>
        <w:rFonts w:ascii="Symbol" w:hAnsi="Symbol" w:cs="Symbol" w:hint="default"/>
      </w:rPr>
    </w:lvl>
    <w:lvl w:ilvl="1">
      <w:start w:val="1"/>
      <w:numFmt w:val="bullet"/>
      <w:lvlText w:val="o"/>
      <w:lvlJc w:val="start"/>
      <w:pPr>
        <w:tabs>
          <w:tab w:val="num" w:pos="0"/>
        </w:tabs>
        <w:ind w:start="1459" w:hanging="360"/>
      </w:pPr>
      <w:rPr>
        <w:rFonts w:ascii="Courier New" w:hAnsi="Courier New" w:cs="Courier New" w:hint="default"/>
      </w:rPr>
    </w:lvl>
    <w:lvl w:ilvl="2">
      <w:start w:val="1"/>
      <w:numFmt w:val="bullet"/>
      <w:lvlText w:val=""/>
      <w:lvlJc w:val="start"/>
      <w:pPr>
        <w:tabs>
          <w:tab w:val="num" w:pos="0"/>
        </w:tabs>
        <w:ind w:start="2179" w:hanging="360"/>
      </w:pPr>
      <w:rPr>
        <w:rFonts w:ascii="Wingdings" w:hAnsi="Wingdings" w:cs="Wingdings" w:hint="default"/>
      </w:rPr>
    </w:lvl>
    <w:lvl w:ilvl="3">
      <w:start w:val="1"/>
      <w:numFmt w:val="bullet"/>
      <w:lvlText w:val=""/>
      <w:lvlJc w:val="start"/>
      <w:pPr>
        <w:tabs>
          <w:tab w:val="num" w:pos="0"/>
        </w:tabs>
        <w:ind w:start="2899" w:hanging="360"/>
      </w:pPr>
      <w:rPr>
        <w:rFonts w:ascii="Symbol" w:hAnsi="Symbol" w:cs="Symbol" w:hint="default"/>
      </w:rPr>
    </w:lvl>
    <w:lvl w:ilvl="4">
      <w:start w:val="1"/>
      <w:numFmt w:val="bullet"/>
      <w:lvlText w:val="o"/>
      <w:lvlJc w:val="start"/>
      <w:pPr>
        <w:tabs>
          <w:tab w:val="num" w:pos="0"/>
        </w:tabs>
        <w:ind w:start="3619" w:hanging="360"/>
      </w:pPr>
      <w:rPr>
        <w:rFonts w:ascii="Courier New" w:hAnsi="Courier New" w:cs="Courier New" w:hint="default"/>
      </w:rPr>
    </w:lvl>
    <w:lvl w:ilvl="5">
      <w:start w:val="1"/>
      <w:numFmt w:val="bullet"/>
      <w:lvlText w:val=""/>
      <w:lvlJc w:val="start"/>
      <w:pPr>
        <w:tabs>
          <w:tab w:val="num" w:pos="0"/>
        </w:tabs>
        <w:ind w:start="4339" w:hanging="360"/>
      </w:pPr>
      <w:rPr>
        <w:rFonts w:ascii="Wingdings" w:hAnsi="Wingdings" w:cs="Wingdings" w:hint="default"/>
      </w:rPr>
    </w:lvl>
    <w:lvl w:ilvl="6">
      <w:start w:val="1"/>
      <w:numFmt w:val="bullet"/>
      <w:lvlText w:val=""/>
      <w:lvlJc w:val="start"/>
      <w:pPr>
        <w:tabs>
          <w:tab w:val="num" w:pos="0"/>
        </w:tabs>
        <w:ind w:start="5059" w:hanging="360"/>
      </w:pPr>
      <w:rPr>
        <w:rFonts w:ascii="Symbol" w:hAnsi="Symbol" w:cs="Symbol" w:hint="default"/>
      </w:rPr>
    </w:lvl>
    <w:lvl w:ilvl="7">
      <w:start w:val="1"/>
      <w:numFmt w:val="bullet"/>
      <w:lvlText w:val="o"/>
      <w:lvlJc w:val="start"/>
      <w:pPr>
        <w:tabs>
          <w:tab w:val="num" w:pos="0"/>
        </w:tabs>
        <w:ind w:start="5779" w:hanging="360"/>
      </w:pPr>
      <w:rPr>
        <w:rFonts w:ascii="Courier New" w:hAnsi="Courier New" w:cs="Courier New" w:hint="default"/>
      </w:rPr>
    </w:lvl>
    <w:lvl w:ilvl="8">
      <w:start w:val="1"/>
      <w:numFmt w:val="bullet"/>
      <w:lvlText w:val=""/>
      <w:lvlJc w:val="start"/>
      <w:pPr>
        <w:tabs>
          <w:tab w:val="num" w:pos="0"/>
        </w:tabs>
        <w:ind w:start="6499" w:hanging="360"/>
      </w:pPr>
      <w:rPr>
        <w:rFonts w:ascii="Wingdings" w:hAnsi="Wingdings" w:cs="Wingdings" w:hint="default"/>
      </w:rPr>
    </w:lvl>
  </w:abstractNum>
  <w:abstractNum w:abstractNumId="3">
    <w:lvl w:ilvl="0">
      <w:start w:val="1"/>
      <w:numFmt w:val="bullet"/>
      <w:lvlText w:val=""/>
      <w:lvlJc w:val="start"/>
      <w:pPr>
        <w:tabs>
          <w:tab w:val="num" w:pos="0"/>
        </w:tabs>
        <w:ind w:start="720" w:hanging="360"/>
      </w:pPr>
      <w:rPr>
        <w:rFonts w:ascii="Symbol" w:hAnsi="Symbol" w:cs="Symbol"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4">
    <w:lvl w:ilvl="0">
      <w:start w:val="1"/>
      <w:numFmt w:val="decimal"/>
      <w:lvlText w:val="%1."/>
      <w:lvlJc w:val="start"/>
      <w:pPr>
        <w:tabs>
          <w:tab w:val="num" w:pos="0"/>
        </w:tabs>
        <w:ind w:start="720" w:hanging="360"/>
      </w:pPr>
    </w:lvl>
    <w:lvl w:ilvl="1">
      <w:start w:val="1"/>
      <w:numFmt w:val="lowerLetter"/>
      <w:lvlText w:val="%2."/>
      <w:lvlJc w:val="start"/>
      <w:pPr>
        <w:tabs>
          <w:tab w:val="num" w:pos="0"/>
        </w:tabs>
        <w:ind w:start="1440" w:hanging="360"/>
      </w:pPr>
    </w:lvl>
    <w:lvl w:ilvl="2">
      <w:start w:val="1"/>
      <w:numFmt w:val="lowerRoman"/>
      <w:lvlText w:val="%3."/>
      <w:lvlJc w:val="end"/>
      <w:pPr>
        <w:tabs>
          <w:tab w:val="num" w:pos="0"/>
        </w:tabs>
        <w:ind w:start="2160" w:hanging="180"/>
      </w:pPr>
    </w:lvl>
    <w:lvl w:ilvl="3">
      <w:start w:val="1"/>
      <w:numFmt w:val="decimal"/>
      <w:lvlText w:val="%4."/>
      <w:lvlJc w:val="start"/>
      <w:pPr>
        <w:tabs>
          <w:tab w:val="num" w:pos="0"/>
        </w:tabs>
        <w:ind w:start="2880" w:hanging="360"/>
      </w:pPr>
    </w:lvl>
    <w:lvl w:ilvl="4">
      <w:start w:val="1"/>
      <w:numFmt w:val="lowerLetter"/>
      <w:lvlText w:val="%5."/>
      <w:lvlJc w:val="start"/>
      <w:pPr>
        <w:tabs>
          <w:tab w:val="num" w:pos="0"/>
        </w:tabs>
        <w:ind w:start="3600" w:hanging="360"/>
      </w:pPr>
    </w:lvl>
    <w:lvl w:ilvl="5">
      <w:start w:val="1"/>
      <w:numFmt w:val="lowerRoman"/>
      <w:lvlText w:val="%6."/>
      <w:lvlJc w:val="end"/>
      <w:pPr>
        <w:tabs>
          <w:tab w:val="num" w:pos="0"/>
        </w:tabs>
        <w:ind w:start="4320" w:hanging="180"/>
      </w:pPr>
    </w:lvl>
    <w:lvl w:ilvl="6">
      <w:start w:val="1"/>
      <w:numFmt w:val="decimal"/>
      <w:lvlText w:val="%7."/>
      <w:lvlJc w:val="start"/>
      <w:pPr>
        <w:tabs>
          <w:tab w:val="num" w:pos="0"/>
        </w:tabs>
        <w:ind w:start="5040" w:hanging="360"/>
      </w:pPr>
    </w:lvl>
    <w:lvl w:ilvl="7">
      <w:start w:val="1"/>
      <w:numFmt w:val="lowerLetter"/>
      <w:lvlText w:val="%8."/>
      <w:lvlJc w:val="start"/>
      <w:pPr>
        <w:tabs>
          <w:tab w:val="num" w:pos="0"/>
        </w:tabs>
        <w:ind w:start="5760" w:hanging="360"/>
      </w:pPr>
    </w:lvl>
    <w:lvl w:ilvl="8">
      <w:start w:val="1"/>
      <w:numFmt w:val="lowerRoman"/>
      <w:lvlText w:val="%9."/>
      <w:lvlJc w:val="end"/>
      <w:pPr>
        <w:tabs>
          <w:tab w:val="num" w:pos="0"/>
        </w:tabs>
        <w:ind w:start="6480" w:hanging="180"/>
      </w:pPr>
    </w:lvl>
  </w:abstractNum>
  <w:abstractNum w:abstractNumId="5">
    <w:lvl w:ilvl="0">
      <w:start w:val="1"/>
      <w:numFmt w:val="bullet"/>
      <w:lvlText w:val=""/>
      <w:lvlJc w:val="start"/>
      <w:pPr>
        <w:tabs>
          <w:tab w:val="num" w:pos="0"/>
        </w:tabs>
        <w:ind w:start="720" w:hanging="360"/>
      </w:pPr>
      <w:rPr>
        <w:rFonts w:ascii="Symbol" w:hAnsi="Symbol" w:cs="Symbol"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6">
    <w:lvl w:ilvl="0">
      <w:start w:val="1"/>
      <w:numFmt w:val="decimal"/>
      <w:lvlText w:val="%1)"/>
      <w:lvlJc w:val="start"/>
      <w:pPr>
        <w:tabs>
          <w:tab w:val="num" w:pos="0"/>
        </w:tabs>
        <w:ind w:start="720" w:hanging="360"/>
      </w:pPr>
    </w:lvl>
    <w:lvl w:ilvl="1">
      <w:start w:val="1"/>
      <w:numFmt w:val="lowerLetter"/>
      <w:lvlText w:val="%2."/>
      <w:lvlJc w:val="start"/>
      <w:pPr>
        <w:tabs>
          <w:tab w:val="num" w:pos="0"/>
        </w:tabs>
        <w:ind w:start="1440" w:hanging="360"/>
      </w:pPr>
    </w:lvl>
    <w:lvl w:ilvl="2">
      <w:start w:val="1"/>
      <w:numFmt w:val="lowerRoman"/>
      <w:lvlText w:val="%3."/>
      <w:lvlJc w:val="end"/>
      <w:pPr>
        <w:tabs>
          <w:tab w:val="num" w:pos="0"/>
        </w:tabs>
        <w:ind w:start="2160" w:hanging="180"/>
      </w:pPr>
    </w:lvl>
    <w:lvl w:ilvl="3">
      <w:start w:val="1"/>
      <w:numFmt w:val="decimal"/>
      <w:lvlText w:val="%4."/>
      <w:lvlJc w:val="start"/>
      <w:pPr>
        <w:tabs>
          <w:tab w:val="num" w:pos="0"/>
        </w:tabs>
        <w:ind w:start="2880" w:hanging="360"/>
      </w:pPr>
    </w:lvl>
    <w:lvl w:ilvl="4">
      <w:start w:val="1"/>
      <w:numFmt w:val="lowerLetter"/>
      <w:lvlText w:val="%5."/>
      <w:lvlJc w:val="start"/>
      <w:pPr>
        <w:tabs>
          <w:tab w:val="num" w:pos="0"/>
        </w:tabs>
        <w:ind w:start="3600" w:hanging="360"/>
      </w:pPr>
    </w:lvl>
    <w:lvl w:ilvl="5">
      <w:start w:val="1"/>
      <w:numFmt w:val="lowerRoman"/>
      <w:lvlText w:val="%6."/>
      <w:lvlJc w:val="end"/>
      <w:pPr>
        <w:tabs>
          <w:tab w:val="num" w:pos="0"/>
        </w:tabs>
        <w:ind w:start="4320" w:hanging="180"/>
      </w:pPr>
    </w:lvl>
    <w:lvl w:ilvl="6">
      <w:start w:val="1"/>
      <w:numFmt w:val="decimal"/>
      <w:lvlText w:val="%7."/>
      <w:lvlJc w:val="start"/>
      <w:pPr>
        <w:tabs>
          <w:tab w:val="num" w:pos="0"/>
        </w:tabs>
        <w:ind w:start="5040" w:hanging="360"/>
      </w:pPr>
    </w:lvl>
    <w:lvl w:ilvl="7">
      <w:start w:val="1"/>
      <w:numFmt w:val="lowerLetter"/>
      <w:lvlText w:val="%8."/>
      <w:lvlJc w:val="start"/>
      <w:pPr>
        <w:tabs>
          <w:tab w:val="num" w:pos="0"/>
        </w:tabs>
        <w:ind w:start="5760" w:hanging="360"/>
      </w:pPr>
    </w:lvl>
    <w:lvl w:ilvl="8">
      <w:start w:val="1"/>
      <w:numFmt w:val="lowerRoman"/>
      <w:lvlText w:val="%9."/>
      <w:lvlJc w:val="end"/>
      <w:pPr>
        <w:tabs>
          <w:tab w:val="num" w:pos="0"/>
        </w:tabs>
        <w:ind w:start="6480" w:hanging="180"/>
      </w:pPr>
    </w:lvl>
  </w:abstractNum>
  <w:abstractNum w:abstractNumId="7">
    <w:lvl w:ilvl="0">
      <w:start w:val="1"/>
      <w:numFmt w:val="decimal"/>
      <w:lvlText w:val="%1."/>
      <w:lvlJc w:val="start"/>
      <w:pPr>
        <w:tabs>
          <w:tab w:val="num" w:pos="0"/>
        </w:tabs>
        <w:ind w:start="720" w:hanging="360"/>
      </w:pPr>
      <w:rPr>
        <w:color w:val="auto"/>
      </w:rPr>
    </w:lvl>
    <w:lvl w:ilvl="1">
      <w:start w:val="1"/>
      <w:numFmt w:val="lowerLetter"/>
      <w:lvlText w:val="%2."/>
      <w:lvlJc w:val="start"/>
      <w:pPr>
        <w:tabs>
          <w:tab w:val="num" w:pos="0"/>
        </w:tabs>
        <w:ind w:start="1440" w:hanging="360"/>
      </w:pPr>
    </w:lvl>
    <w:lvl w:ilvl="2">
      <w:start w:val="1"/>
      <w:numFmt w:val="lowerRoman"/>
      <w:lvlText w:val="%3."/>
      <w:lvlJc w:val="end"/>
      <w:pPr>
        <w:tabs>
          <w:tab w:val="num" w:pos="0"/>
        </w:tabs>
        <w:ind w:start="2160" w:hanging="180"/>
      </w:pPr>
    </w:lvl>
    <w:lvl w:ilvl="3">
      <w:start w:val="1"/>
      <w:numFmt w:val="decimal"/>
      <w:lvlText w:val="%4."/>
      <w:lvlJc w:val="start"/>
      <w:pPr>
        <w:tabs>
          <w:tab w:val="num" w:pos="0"/>
        </w:tabs>
        <w:ind w:start="2880" w:hanging="360"/>
      </w:pPr>
    </w:lvl>
    <w:lvl w:ilvl="4">
      <w:start w:val="1"/>
      <w:numFmt w:val="lowerLetter"/>
      <w:lvlText w:val="%5."/>
      <w:lvlJc w:val="start"/>
      <w:pPr>
        <w:tabs>
          <w:tab w:val="num" w:pos="0"/>
        </w:tabs>
        <w:ind w:start="3600" w:hanging="360"/>
      </w:pPr>
    </w:lvl>
    <w:lvl w:ilvl="5">
      <w:start w:val="1"/>
      <w:numFmt w:val="lowerRoman"/>
      <w:lvlText w:val="%6."/>
      <w:lvlJc w:val="end"/>
      <w:pPr>
        <w:tabs>
          <w:tab w:val="num" w:pos="0"/>
        </w:tabs>
        <w:ind w:start="4320" w:hanging="180"/>
      </w:pPr>
    </w:lvl>
    <w:lvl w:ilvl="6">
      <w:start w:val="1"/>
      <w:numFmt w:val="decimal"/>
      <w:lvlText w:val="%7."/>
      <w:lvlJc w:val="start"/>
      <w:pPr>
        <w:tabs>
          <w:tab w:val="num" w:pos="0"/>
        </w:tabs>
        <w:ind w:start="5040" w:hanging="360"/>
      </w:pPr>
    </w:lvl>
    <w:lvl w:ilvl="7">
      <w:start w:val="1"/>
      <w:numFmt w:val="lowerLetter"/>
      <w:lvlText w:val="%8."/>
      <w:lvlJc w:val="start"/>
      <w:pPr>
        <w:tabs>
          <w:tab w:val="num" w:pos="0"/>
        </w:tabs>
        <w:ind w:start="5760" w:hanging="360"/>
      </w:pPr>
    </w:lvl>
    <w:lvl w:ilvl="8">
      <w:start w:val="1"/>
      <w:numFmt w:val="lowerRoman"/>
      <w:lvlText w:val="%9."/>
      <w:lvlJc w:val="end"/>
      <w:pPr>
        <w:tabs>
          <w:tab w:val="num" w:pos="0"/>
        </w:tabs>
        <w:ind w:start="6480" w:hanging="180"/>
      </w:pPr>
    </w:lvl>
  </w:abstractNum>
  <w:abstractNum w:abstractNumId="8">
    <w:lvl w:ilvl="0">
      <w:start w:val="1"/>
      <w:numFmt w:val="bullet"/>
      <w:lvlText w:val=""/>
      <w:lvlJc w:val="start"/>
      <w:pPr>
        <w:tabs>
          <w:tab w:val="num" w:pos="0"/>
        </w:tabs>
        <w:ind w:start="720" w:hanging="360"/>
      </w:pPr>
      <w:rPr>
        <w:rFonts w:ascii="Symbol" w:hAnsi="Symbol" w:cs="Symbol"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9">
    <w:lvl w:ilvl="0">
      <w:start w:val="1"/>
      <w:numFmt w:val="bullet"/>
      <w:lvlText w:val=""/>
      <w:lvlJc w:val="start"/>
      <w:pPr>
        <w:tabs>
          <w:tab w:val="num" w:pos="0"/>
        </w:tabs>
        <w:ind w:start="720" w:hanging="360"/>
      </w:pPr>
      <w:rPr>
        <w:rFonts w:ascii="Symbol" w:hAnsi="Symbol" w:cs="Symbol"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10">
    <w:lvl w:ilvl="0">
      <w:start w:val="1"/>
      <w:numFmt w:val="decimal"/>
      <w:lvlText w:val="%1."/>
      <w:lvlJc w:val="start"/>
      <w:pPr>
        <w:tabs>
          <w:tab w:val="num" w:pos="0"/>
        </w:tabs>
        <w:ind w:start="720" w:hanging="360"/>
      </w:pPr>
    </w:lvl>
    <w:lvl w:ilvl="1">
      <w:start w:val="1"/>
      <w:numFmt w:val="lowerLetter"/>
      <w:lvlText w:val="%2."/>
      <w:lvlJc w:val="start"/>
      <w:pPr>
        <w:tabs>
          <w:tab w:val="num" w:pos="0"/>
        </w:tabs>
        <w:ind w:start="1440" w:hanging="360"/>
      </w:pPr>
    </w:lvl>
    <w:lvl w:ilvl="2">
      <w:start w:val="1"/>
      <w:numFmt w:val="lowerRoman"/>
      <w:lvlText w:val="%3."/>
      <w:lvlJc w:val="end"/>
      <w:pPr>
        <w:tabs>
          <w:tab w:val="num" w:pos="0"/>
        </w:tabs>
        <w:ind w:start="2160" w:hanging="180"/>
      </w:pPr>
    </w:lvl>
    <w:lvl w:ilvl="3">
      <w:start w:val="1"/>
      <w:numFmt w:val="decimal"/>
      <w:lvlText w:val="%4."/>
      <w:lvlJc w:val="start"/>
      <w:pPr>
        <w:tabs>
          <w:tab w:val="num" w:pos="0"/>
        </w:tabs>
        <w:ind w:start="2880" w:hanging="360"/>
      </w:pPr>
    </w:lvl>
    <w:lvl w:ilvl="4">
      <w:start w:val="1"/>
      <w:numFmt w:val="lowerLetter"/>
      <w:lvlText w:val="%5."/>
      <w:lvlJc w:val="start"/>
      <w:pPr>
        <w:tabs>
          <w:tab w:val="num" w:pos="0"/>
        </w:tabs>
        <w:ind w:start="3600" w:hanging="360"/>
      </w:pPr>
    </w:lvl>
    <w:lvl w:ilvl="5">
      <w:start w:val="1"/>
      <w:numFmt w:val="lowerRoman"/>
      <w:lvlText w:val="%6."/>
      <w:lvlJc w:val="end"/>
      <w:pPr>
        <w:tabs>
          <w:tab w:val="num" w:pos="0"/>
        </w:tabs>
        <w:ind w:start="4320" w:hanging="180"/>
      </w:pPr>
    </w:lvl>
    <w:lvl w:ilvl="6">
      <w:start w:val="1"/>
      <w:numFmt w:val="decimal"/>
      <w:lvlText w:val="%7."/>
      <w:lvlJc w:val="start"/>
      <w:pPr>
        <w:tabs>
          <w:tab w:val="num" w:pos="0"/>
        </w:tabs>
        <w:ind w:start="5040" w:hanging="360"/>
      </w:pPr>
    </w:lvl>
    <w:lvl w:ilvl="7">
      <w:start w:val="1"/>
      <w:numFmt w:val="lowerLetter"/>
      <w:lvlText w:val="%8."/>
      <w:lvlJc w:val="start"/>
      <w:pPr>
        <w:tabs>
          <w:tab w:val="num" w:pos="0"/>
        </w:tabs>
        <w:ind w:start="5760" w:hanging="360"/>
      </w:pPr>
    </w:lvl>
    <w:lvl w:ilvl="8">
      <w:start w:val="1"/>
      <w:numFmt w:val="lowerRoman"/>
      <w:lvlText w:val="%9."/>
      <w:lvlJc w:val="end"/>
      <w:pPr>
        <w:tabs>
          <w:tab w:val="num" w:pos="0"/>
        </w:tabs>
        <w:ind w:start="6480" w:hanging="180"/>
      </w:pPr>
    </w:lvl>
  </w:abstractNum>
  <w:abstractNum w:abstractNumId="11">
    <w:lvl w:ilvl="0">
      <w:start w:val="1"/>
      <w:numFmt w:val="bullet"/>
      <w:lvlText w:val=""/>
      <w:lvlJc w:val="start"/>
      <w:pPr>
        <w:tabs>
          <w:tab w:val="num" w:pos="0"/>
        </w:tabs>
        <w:ind w:start="1080" w:hanging="360"/>
      </w:pPr>
      <w:rPr>
        <w:rFonts w:ascii="Symbol" w:hAnsi="Symbol" w:cs="Symbol" w:hint="default"/>
      </w:rPr>
    </w:lvl>
    <w:lvl w:ilvl="1">
      <w:start w:val="1"/>
      <w:numFmt w:val="bullet"/>
      <w:lvlText w:val="o"/>
      <w:lvlJc w:val="start"/>
      <w:pPr>
        <w:tabs>
          <w:tab w:val="num" w:pos="0"/>
        </w:tabs>
        <w:ind w:start="1800" w:hanging="360"/>
      </w:pPr>
      <w:rPr>
        <w:rFonts w:ascii="Courier New" w:hAnsi="Courier New" w:cs="Courier New" w:hint="default"/>
      </w:rPr>
    </w:lvl>
    <w:lvl w:ilvl="2">
      <w:start w:val="1"/>
      <w:numFmt w:val="bullet"/>
      <w:lvlText w:val=""/>
      <w:lvlJc w:val="start"/>
      <w:pPr>
        <w:tabs>
          <w:tab w:val="num" w:pos="0"/>
        </w:tabs>
        <w:ind w:start="2520" w:hanging="360"/>
      </w:pPr>
      <w:rPr>
        <w:rFonts w:ascii="Wingdings" w:hAnsi="Wingdings" w:cs="Wingdings" w:hint="default"/>
      </w:rPr>
    </w:lvl>
    <w:lvl w:ilvl="3">
      <w:start w:val="1"/>
      <w:numFmt w:val="bullet"/>
      <w:lvlText w:val=""/>
      <w:lvlJc w:val="start"/>
      <w:pPr>
        <w:tabs>
          <w:tab w:val="num" w:pos="0"/>
        </w:tabs>
        <w:ind w:start="3240" w:hanging="360"/>
      </w:pPr>
      <w:rPr>
        <w:rFonts w:ascii="Symbol" w:hAnsi="Symbol" w:cs="Symbol" w:hint="default"/>
      </w:rPr>
    </w:lvl>
    <w:lvl w:ilvl="4">
      <w:start w:val="1"/>
      <w:numFmt w:val="bullet"/>
      <w:lvlText w:val="o"/>
      <w:lvlJc w:val="start"/>
      <w:pPr>
        <w:tabs>
          <w:tab w:val="num" w:pos="0"/>
        </w:tabs>
        <w:ind w:start="3960" w:hanging="360"/>
      </w:pPr>
      <w:rPr>
        <w:rFonts w:ascii="Courier New" w:hAnsi="Courier New" w:cs="Courier New" w:hint="default"/>
      </w:rPr>
    </w:lvl>
    <w:lvl w:ilvl="5">
      <w:start w:val="1"/>
      <w:numFmt w:val="bullet"/>
      <w:lvlText w:val=""/>
      <w:lvlJc w:val="start"/>
      <w:pPr>
        <w:tabs>
          <w:tab w:val="num" w:pos="0"/>
        </w:tabs>
        <w:ind w:start="4680" w:hanging="360"/>
      </w:pPr>
      <w:rPr>
        <w:rFonts w:ascii="Wingdings" w:hAnsi="Wingdings" w:cs="Wingdings" w:hint="default"/>
      </w:rPr>
    </w:lvl>
    <w:lvl w:ilvl="6">
      <w:start w:val="1"/>
      <w:numFmt w:val="bullet"/>
      <w:lvlText w:val=""/>
      <w:lvlJc w:val="start"/>
      <w:pPr>
        <w:tabs>
          <w:tab w:val="num" w:pos="0"/>
        </w:tabs>
        <w:ind w:start="5400" w:hanging="360"/>
      </w:pPr>
      <w:rPr>
        <w:rFonts w:ascii="Symbol" w:hAnsi="Symbol" w:cs="Symbol" w:hint="default"/>
      </w:rPr>
    </w:lvl>
    <w:lvl w:ilvl="7">
      <w:start w:val="1"/>
      <w:numFmt w:val="bullet"/>
      <w:lvlText w:val="o"/>
      <w:lvlJc w:val="start"/>
      <w:pPr>
        <w:tabs>
          <w:tab w:val="num" w:pos="0"/>
        </w:tabs>
        <w:ind w:start="6120" w:hanging="360"/>
      </w:pPr>
      <w:rPr>
        <w:rFonts w:ascii="Courier New" w:hAnsi="Courier New" w:cs="Courier New" w:hint="default"/>
      </w:rPr>
    </w:lvl>
    <w:lvl w:ilvl="8">
      <w:start w:val="1"/>
      <w:numFmt w:val="bullet"/>
      <w:lvlText w:val=""/>
      <w:lvlJc w:val="start"/>
      <w:pPr>
        <w:tabs>
          <w:tab w:val="num" w:pos="0"/>
        </w:tabs>
        <w:ind w:start="6840" w:hanging="360"/>
      </w:pPr>
      <w:rPr>
        <w:rFonts w:ascii="Wingdings" w:hAnsi="Wingdings" w:cs="Wingdings" w:hint="default"/>
      </w:rPr>
    </w:lvl>
  </w:abstractNum>
  <w:abstractNum w:abstractNumId="12">
    <w:lvl w:ilvl="0">
      <w:start w:val="1"/>
      <w:numFmt w:val="decimal"/>
      <w:lvlText w:val="%1."/>
      <w:lvlJc w:val="start"/>
      <w:pPr>
        <w:tabs>
          <w:tab w:val="num" w:pos="0"/>
        </w:tabs>
        <w:ind w:start="720" w:hanging="360"/>
      </w:pPr>
    </w:lvl>
    <w:lvl w:ilvl="1">
      <w:start w:val="1"/>
      <w:numFmt w:val="lowerLetter"/>
      <w:lvlText w:val="%2."/>
      <w:lvlJc w:val="start"/>
      <w:pPr>
        <w:tabs>
          <w:tab w:val="num" w:pos="0"/>
        </w:tabs>
        <w:ind w:start="1440" w:hanging="360"/>
      </w:pPr>
    </w:lvl>
    <w:lvl w:ilvl="2">
      <w:start w:val="1"/>
      <w:numFmt w:val="lowerRoman"/>
      <w:lvlText w:val="%3."/>
      <w:lvlJc w:val="end"/>
      <w:pPr>
        <w:tabs>
          <w:tab w:val="num" w:pos="0"/>
        </w:tabs>
        <w:ind w:start="2160" w:hanging="180"/>
      </w:pPr>
    </w:lvl>
    <w:lvl w:ilvl="3">
      <w:start w:val="1"/>
      <w:numFmt w:val="decimal"/>
      <w:lvlText w:val="%4."/>
      <w:lvlJc w:val="start"/>
      <w:pPr>
        <w:tabs>
          <w:tab w:val="num" w:pos="0"/>
        </w:tabs>
        <w:ind w:start="2880" w:hanging="360"/>
      </w:pPr>
    </w:lvl>
    <w:lvl w:ilvl="4">
      <w:start w:val="1"/>
      <w:numFmt w:val="lowerLetter"/>
      <w:lvlText w:val="%5."/>
      <w:lvlJc w:val="start"/>
      <w:pPr>
        <w:tabs>
          <w:tab w:val="num" w:pos="0"/>
        </w:tabs>
        <w:ind w:start="3600" w:hanging="360"/>
      </w:pPr>
    </w:lvl>
    <w:lvl w:ilvl="5">
      <w:start w:val="1"/>
      <w:numFmt w:val="lowerRoman"/>
      <w:lvlText w:val="%6."/>
      <w:lvlJc w:val="end"/>
      <w:pPr>
        <w:tabs>
          <w:tab w:val="num" w:pos="0"/>
        </w:tabs>
        <w:ind w:start="4320" w:hanging="180"/>
      </w:pPr>
    </w:lvl>
    <w:lvl w:ilvl="6">
      <w:start w:val="1"/>
      <w:numFmt w:val="decimal"/>
      <w:lvlText w:val="%7."/>
      <w:lvlJc w:val="start"/>
      <w:pPr>
        <w:tabs>
          <w:tab w:val="num" w:pos="0"/>
        </w:tabs>
        <w:ind w:start="5040" w:hanging="360"/>
      </w:pPr>
    </w:lvl>
    <w:lvl w:ilvl="7">
      <w:start w:val="1"/>
      <w:numFmt w:val="lowerLetter"/>
      <w:lvlText w:val="%8."/>
      <w:lvlJc w:val="start"/>
      <w:pPr>
        <w:tabs>
          <w:tab w:val="num" w:pos="0"/>
        </w:tabs>
        <w:ind w:start="5760" w:hanging="360"/>
      </w:pPr>
    </w:lvl>
    <w:lvl w:ilvl="8">
      <w:start w:val="1"/>
      <w:numFmt w:val="lowerRoman"/>
      <w:lvlText w:val="%9."/>
      <w:lvlJc w:val="end"/>
      <w:pPr>
        <w:tabs>
          <w:tab w:val="num" w:pos="0"/>
        </w:tabs>
        <w:ind w:start="6480" w:hanging="180"/>
      </w:pPr>
    </w:lvl>
  </w:abstractNum>
  <w:abstractNum w:abstractNumId="13">
    <w:lvl w:ilvl="0">
      <w:start w:val="1"/>
      <w:numFmt w:val="decimal"/>
      <w:lvlText w:val="%1."/>
      <w:lvlJc w:val="start"/>
      <w:pPr>
        <w:tabs>
          <w:tab w:val="num" w:pos="0"/>
        </w:tabs>
        <w:ind w:start="720" w:hanging="360"/>
      </w:pPr>
    </w:lvl>
    <w:lvl w:ilvl="1">
      <w:start w:val="1"/>
      <w:numFmt w:val="lowerLetter"/>
      <w:lvlText w:val="%2."/>
      <w:lvlJc w:val="start"/>
      <w:pPr>
        <w:tabs>
          <w:tab w:val="num" w:pos="0"/>
        </w:tabs>
        <w:ind w:start="1440" w:hanging="360"/>
      </w:pPr>
    </w:lvl>
    <w:lvl w:ilvl="2">
      <w:start w:val="1"/>
      <w:numFmt w:val="lowerRoman"/>
      <w:lvlText w:val="%3."/>
      <w:lvlJc w:val="end"/>
      <w:pPr>
        <w:tabs>
          <w:tab w:val="num" w:pos="0"/>
        </w:tabs>
        <w:ind w:start="2160" w:hanging="180"/>
      </w:pPr>
    </w:lvl>
    <w:lvl w:ilvl="3">
      <w:start w:val="1"/>
      <w:numFmt w:val="decimal"/>
      <w:lvlText w:val="%4."/>
      <w:lvlJc w:val="start"/>
      <w:pPr>
        <w:tabs>
          <w:tab w:val="num" w:pos="0"/>
        </w:tabs>
        <w:ind w:start="2880" w:hanging="360"/>
      </w:pPr>
    </w:lvl>
    <w:lvl w:ilvl="4">
      <w:start w:val="1"/>
      <w:numFmt w:val="lowerLetter"/>
      <w:lvlText w:val="%5."/>
      <w:lvlJc w:val="start"/>
      <w:pPr>
        <w:tabs>
          <w:tab w:val="num" w:pos="0"/>
        </w:tabs>
        <w:ind w:start="3600" w:hanging="360"/>
      </w:pPr>
    </w:lvl>
    <w:lvl w:ilvl="5">
      <w:start w:val="1"/>
      <w:numFmt w:val="lowerRoman"/>
      <w:lvlText w:val="%6."/>
      <w:lvlJc w:val="end"/>
      <w:pPr>
        <w:tabs>
          <w:tab w:val="num" w:pos="0"/>
        </w:tabs>
        <w:ind w:start="4320" w:hanging="180"/>
      </w:pPr>
    </w:lvl>
    <w:lvl w:ilvl="6">
      <w:start w:val="1"/>
      <w:numFmt w:val="decimal"/>
      <w:lvlText w:val="%7."/>
      <w:lvlJc w:val="start"/>
      <w:pPr>
        <w:tabs>
          <w:tab w:val="num" w:pos="0"/>
        </w:tabs>
        <w:ind w:start="5040" w:hanging="360"/>
      </w:pPr>
    </w:lvl>
    <w:lvl w:ilvl="7">
      <w:start w:val="1"/>
      <w:numFmt w:val="lowerLetter"/>
      <w:lvlText w:val="%8."/>
      <w:lvlJc w:val="start"/>
      <w:pPr>
        <w:tabs>
          <w:tab w:val="num" w:pos="0"/>
        </w:tabs>
        <w:ind w:start="5760" w:hanging="360"/>
      </w:pPr>
    </w:lvl>
    <w:lvl w:ilvl="8">
      <w:start w:val="1"/>
      <w:numFmt w:val="lowerRoman"/>
      <w:lvlText w:val="%9."/>
      <w:lvlJc w:val="end"/>
      <w:pPr>
        <w:tabs>
          <w:tab w:val="num" w:pos="0"/>
        </w:tabs>
        <w:ind w:start="6480" w:hanging="180"/>
      </w:pPr>
    </w:lvl>
  </w:abstractNum>
  <w:abstractNum w:abstractNumId="14">
    <w:lvl w:ilvl="0">
      <w:start w:val="1"/>
      <w:numFmt w:val="decimal"/>
      <w:lvlText w:val="%1."/>
      <w:lvlJc w:val="start"/>
      <w:pPr>
        <w:tabs>
          <w:tab w:val="num" w:pos="0"/>
        </w:tabs>
        <w:ind w:start="720" w:hanging="360"/>
      </w:pPr>
    </w:lvl>
    <w:lvl w:ilvl="1">
      <w:start w:val="1"/>
      <w:numFmt w:val="lowerLetter"/>
      <w:lvlText w:val="%2."/>
      <w:lvlJc w:val="start"/>
      <w:pPr>
        <w:tabs>
          <w:tab w:val="num" w:pos="0"/>
        </w:tabs>
        <w:ind w:start="1440" w:hanging="360"/>
      </w:pPr>
    </w:lvl>
    <w:lvl w:ilvl="2">
      <w:start w:val="1"/>
      <w:numFmt w:val="lowerRoman"/>
      <w:lvlText w:val="%3."/>
      <w:lvlJc w:val="end"/>
      <w:pPr>
        <w:tabs>
          <w:tab w:val="num" w:pos="0"/>
        </w:tabs>
        <w:ind w:start="2160" w:hanging="180"/>
      </w:pPr>
    </w:lvl>
    <w:lvl w:ilvl="3">
      <w:start w:val="1"/>
      <w:numFmt w:val="decimal"/>
      <w:lvlText w:val="%4."/>
      <w:lvlJc w:val="start"/>
      <w:pPr>
        <w:tabs>
          <w:tab w:val="num" w:pos="0"/>
        </w:tabs>
        <w:ind w:start="2880" w:hanging="360"/>
      </w:pPr>
    </w:lvl>
    <w:lvl w:ilvl="4">
      <w:start w:val="1"/>
      <w:numFmt w:val="lowerLetter"/>
      <w:lvlText w:val="%5."/>
      <w:lvlJc w:val="start"/>
      <w:pPr>
        <w:tabs>
          <w:tab w:val="num" w:pos="0"/>
        </w:tabs>
        <w:ind w:start="3600" w:hanging="360"/>
      </w:pPr>
    </w:lvl>
    <w:lvl w:ilvl="5">
      <w:start w:val="1"/>
      <w:numFmt w:val="lowerRoman"/>
      <w:lvlText w:val="%6."/>
      <w:lvlJc w:val="end"/>
      <w:pPr>
        <w:tabs>
          <w:tab w:val="num" w:pos="0"/>
        </w:tabs>
        <w:ind w:start="4320" w:hanging="180"/>
      </w:pPr>
    </w:lvl>
    <w:lvl w:ilvl="6">
      <w:start w:val="1"/>
      <w:numFmt w:val="decimal"/>
      <w:lvlText w:val="%7."/>
      <w:lvlJc w:val="start"/>
      <w:pPr>
        <w:tabs>
          <w:tab w:val="num" w:pos="0"/>
        </w:tabs>
        <w:ind w:start="5040" w:hanging="360"/>
      </w:pPr>
    </w:lvl>
    <w:lvl w:ilvl="7">
      <w:start w:val="1"/>
      <w:numFmt w:val="lowerLetter"/>
      <w:lvlText w:val="%8."/>
      <w:lvlJc w:val="start"/>
      <w:pPr>
        <w:tabs>
          <w:tab w:val="num" w:pos="0"/>
        </w:tabs>
        <w:ind w:start="5760" w:hanging="360"/>
      </w:pPr>
    </w:lvl>
    <w:lvl w:ilvl="8">
      <w:start w:val="1"/>
      <w:numFmt w:val="lowerRoman"/>
      <w:lvlText w:val="%9."/>
      <w:lvlJc w:val="end"/>
      <w:pPr>
        <w:tabs>
          <w:tab w:val="num" w:pos="0"/>
        </w:tabs>
        <w:ind w:start="6480" w:hanging="180"/>
      </w:pPr>
    </w:lvl>
  </w:abstractNum>
  <w:abstractNum w:abstractNumId="15">
    <w:lvl w:ilvl="0">
      <w:start w:val="15"/>
      <w:numFmt w:val="bullet"/>
      <w:lvlText w:val="-"/>
      <w:lvlJc w:val="start"/>
      <w:pPr>
        <w:tabs>
          <w:tab w:val="num" w:pos="0"/>
        </w:tabs>
        <w:ind w:start="720" w:hanging="360"/>
      </w:pPr>
      <w:rPr>
        <w:rFonts w:ascii="Tahoma" w:hAnsi="Tahoma" w:cs="Tahoma"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16">
    <w:lvl w:ilvl="0">
      <w:start w:val="15"/>
      <w:numFmt w:val="bullet"/>
      <w:lvlText w:val="-"/>
      <w:lvlJc w:val="start"/>
      <w:pPr>
        <w:tabs>
          <w:tab w:val="num" w:pos="0"/>
        </w:tabs>
        <w:ind w:start="720" w:hanging="360"/>
      </w:pPr>
      <w:rPr>
        <w:rFonts w:ascii="Tahoma" w:hAnsi="Tahoma" w:cs="Tahoma"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Wingdings" w:hAnsi="Wingdings" w:cs="Wingdings" w:hint="default"/>
      </w:rPr>
    </w:lvl>
  </w:abstractNum>
  <w:abstractNum w:abstractNumId="17">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w="http://schemas.openxmlformats.org/wordprocessingml/2006/main">
  <w:zoom w:percent="100"/>
  <w:defaultTabStop w:val="720"/>
  <w:autoHyphenation w:val="true"/>
  <w:footnotePr>
    <w:numFmt w:val="decimal"/>
    <w:footnote w:id="0"/>
    <w:footnote w:id="1"/>
  </w:foot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en-US" w:eastAsia="ja-JP"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DejaVu Sans" w:asciiTheme="minorHAnsi" w:cstheme="minorBidi" w:eastAsiaTheme="minorHAnsi" w:hAnsiTheme="minorHAnsi"/>
        <w:kern w:val="2"/>
        <w:sz w:val="22"/>
        <w:szCs w:val="22"/>
        <w:lang w:val="en-US" w:eastAsia="en-US" w:bidi="ar-SA"/>
        <w14:ligatures w14:val="standardContextual"/>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uiPriority="0"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uiPriority="0"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semiHidden="1" w:unhideWhenUsed="1"/>
    <w:lsdException w:name="List Bullet" w:semiHidden="1" w:unhideWhenUsed="1"/>
    <w:lsdException w:name="List Number" w:semiHidden="1" w:unhideWhenUsed="1"/>
    <w:lsdException w:name="List 2" w:uiPriority="0"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qFormat="1"/>
    <w:lsdException w:name="HTML Bottom of Form" w:semiHidden="1" w:unhideWhenUsed="1" w:qFormat="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e007b4"/>
    <w:pPr>
      <w:widowControl/>
      <w:suppressAutoHyphens w:val="true"/>
      <w:bidi w:val="0"/>
      <w:spacing w:lineRule="auto" w:line="259" w:before="0" w:after="160"/>
      <w:jc w:val="start"/>
    </w:pPr>
    <w:rPr>
      <w:rFonts w:ascii="Arial" w:hAnsi="Arial" w:eastAsia="Arial" w:cs="DejaVu Sans" w:asciiTheme="minorHAnsi" w:cstheme="minorBidi" w:eastAsiaTheme="minorHAnsi" w:hAnsiTheme="minorHAnsi"/>
      <w:color w:val="auto"/>
      <w:kern w:val="2"/>
      <w:sz w:val="22"/>
      <w:szCs w:val="22"/>
      <w:lang w:val="en-US" w:eastAsia="en-US" w:bidi="ar-SA"/>
      <w14:ligatures w14:val="standardContextual"/>
    </w:rPr>
  </w:style>
  <w:style w:type="paragraph" w:styleId="Heading1">
    <w:name w:val="Heading 1"/>
    <w:basedOn w:val="Normal"/>
    <w:next w:val="Normal"/>
    <w:link w:val="Heading1Char"/>
    <w:uiPriority w:val="9"/>
    <w:qFormat/>
    <w:rsid w:val="00597447"/>
    <w:pPr>
      <w:keepNext w:val="true"/>
      <w:keepLines/>
      <w:spacing w:before="240" w:after="0"/>
      <w:outlineLvl w:val="0"/>
    </w:pPr>
    <w:rPr>
      <w:rFonts w:ascii="Arial" w:hAnsi="Arial" w:eastAsia="DejaVu Sans" w:cs="DejaVu Sans" w:asciiTheme="majorHAnsi" w:cstheme="majorBidi" w:eastAsiaTheme="majorEastAsia" w:hAnsiTheme="majorHAnsi"/>
      <w:color w:val="2F5496" w:themeColor="accent1" w:themeShade="bf"/>
      <w:sz w:val="32"/>
      <w:szCs w:val="32"/>
    </w:rPr>
  </w:style>
  <w:style w:type="paragraph" w:styleId="Heading2">
    <w:name w:val="Heading 2"/>
    <w:basedOn w:val="Normal"/>
    <w:next w:val="Normal"/>
    <w:link w:val="Heading2Char"/>
    <w:uiPriority w:val="9"/>
    <w:unhideWhenUsed/>
    <w:qFormat/>
    <w:rsid w:val="00ad10ec"/>
    <w:pPr>
      <w:keepNext w:val="true"/>
      <w:keepLines/>
      <w:spacing w:before="40" w:after="0"/>
      <w:outlineLvl w:val="1"/>
    </w:pPr>
    <w:rPr>
      <w:rFonts w:ascii="Arial" w:hAnsi="Arial" w:eastAsia="DejaVu Sans" w:cs="DejaVu Sans" w:asciiTheme="majorHAnsi" w:cstheme="majorBidi" w:eastAsiaTheme="majorEastAsia" w:hAnsiTheme="majorHAnsi"/>
      <w:color w:val="2F5496" w:themeColor="accent1" w:themeShade="bf"/>
      <w:sz w:val="26"/>
      <w:szCs w:val="26"/>
    </w:rPr>
  </w:style>
  <w:style w:type="paragraph" w:styleId="Heading3">
    <w:name w:val="Heading 3"/>
    <w:basedOn w:val="Normal"/>
    <w:next w:val="Normal"/>
    <w:link w:val="Heading3Char"/>
    <w:uiPriority w:val="9"/>
    <w:unhideWhenUsed/>
    <w:qFormat/>
    <w:rsid w:val="00a91587"/>
    <w:pPr>
      <w:keepNext w:val="true"/>
      <w:keepLines/>
      <w:spacing w:before="40" w:after="0"/>
      <w:outlineLvl w:val="2"/>
    </w:pPr>
    <w:rPr>
      <w:rFonts w:ascii="Arial" w:hAnsi="Arial" w:eastAsia="DejaVu Sans" w:cs="DejaVu Sans" w:asciiTheme="majorHAnsi" w:cstheme="majorBidi" w:eastAsiaTheme="majorEastAsia" w:hAnsiTheme="majorHAnsi"/>
      <w:color w:val="1F3763" w:themeColor="accent1" w:themeShade="7f"/>
      <w:sz w:val="24"/>
      <w:szCs w:val="24"/>
    </w:rPr>
  </w:style>
  <w:style w:type="paragraph" w:styleId="Heading4">
    <w:name w:val="Heading 4"/>
    <w:basedOn w:val="Normal"/>
    <w:next w:val="Normal"/>
    <w:link w:val="Heading4Char"/>
    <w:uiPriority w:val="9"/>
    <w:unhideWhenUsed/>
    <w:qFormat/>
    <w:rsid w:val="00b83d67"/>
    <w:pPr>
      <w:keepNext w:val="true"/>
      <w:keepLines/>
      <w:spacing w:before="200" w:after="0"/>
      <w:ind w:start="864" w:hanging="864"/>
      <w:outlineLvl w:val="3"/>
    </w:pPr>
    <w:rPr>
      <w:rFonts w:ascii="Arial" w:hAnsi="Arial" w:eastAsia="DejaVu Sans" w:cs="DejaVu Sans" w:asciiTheme="majorHAnsi" w:cstheme="majorBidi" w:eastAsiaTheme="majorEastAsia" w:hAnsiTheme="majorHAnsi"/>
      <w:b/>
      <w:bCs/>
      <w:i/>
      <w:iCs/>
      <w:color w:val="000000" w:themeColor="text1"/>
      <w:kern w:val="0"/>
      <w14:ligatures w14:val="none"/>
    </w:rPr>
  </w:style>
  <w:style w:type="paragraph" w:styleId="Heading5">
    <w:name w:val="Heading 5"/>
    <w:basedOn w:val="Normal"/>
    <w:next w:val="Normal"/>
    <w:link w:val="Heading5Char"/>
    <w:uiPriority w:val="9"/>
    <w:unhideWhenUsed/>
    <w:qFormat/>
    <w:rsid w:val="002626a1"/>
    <w:pPr>
      <w:keepNext w:val="true"/>
      <w:keepLines/>
      <w:spacing w:before="40" w:after="0"/>
      <w:outlineLvl w:val="4"/>
    </w:pPr>
    <w:rPr>
      <w:rFonts w:ascii="Arial" w:hAnsi="Arial" w:eastAsia="DejaVu Sans" w:cs="DejaVu Sans" w:asciiTheme="majorHAnsi" w:cstheme="majorBidi" w:eastAsiaTheme="majorEastAsia" w:hAnsiTheme="majorHAnsi"/>
      <w:color w:val="2F5496" w:themeColor="accent1" w:themeShade="bf"/>
    </w:rPr>
  </w:style>
  <w:style w:type="paragraph" w:styleId="Heading6">
    <w:name w:val="Heading 6"/>
    <w:basedOn w:val="Normal"/>
    <w:next w:val="Normal"/>
    <w:link w:val="Heading6Char"/>
    <w:uiPriority w:val="9"/>
    <w:unhideWhenUsed/>
    <w:qFormat/>
    <w:rsid w:val="00b83d67"/>
    <w:pPr>
      <w:keepNext w:val="true"/>
      <w:keepLines/>
      <w:spacing w:before="200" w:after="0"/>
      <w:ind w:start="1152" w:hanging="1152"/>
      <w:outlineLvl w:val="5"/>
    </w:pPr>
    <w:rPr>
      <w:rFonts w:ascii="Arial" w:hAnsi="Arial" w:eastAsia="DejaVu Sans" w:cs="DejaVu Sans" w:asciiTheme="majorHAnsi" w:cstheme="majorBidi" w:eastAsiaTheme="majorEastAsia" w:hAnsiTheme="majorHAnsi"/>
      <w:i/>
      <w:iCs/>
      <w:color w:val="323E4F" w:themeColor="text2" w:themeShade="bf"/>
      <w:kern w:val="0"/>
      <w14:ligatures w14:val="none"/>
    </w:rPr>
  </w:style>
  <w:style w:type="paragraph" w:styleId="Heading7">
    <w:name w:val="Heading 7"/>
    <w:basedOn w:val="Normal"/>
    <w:next w:val="Normal"/>
    <w:link w:val="Heading7Char"/>
    <w:uiPriority w:val="9"/>
    <w:unhideWhenUsed/>
    <w:qFormat/>
    <w:rsid w:val="00b83d67"/>
    <w:pPr>
      <w:keepNext w:val="true"/>
      <w:keepLines/>
      <w:spacing w:before="200" w:after="0"/>
      <w:ind w:start="1296" w:hanging="1296"/>
      <w:outlineLvl w:val="6"/>
    </w:pPr>
    <w:rPr>
      <w:rFonts w:ascii="Arial" w:hAnsi="Arial" w:eastAsia="DejaVu Sans" w:cs="DejaVu Sans" w:asciiTheme="majorHAnsi" w:cstheme="majorBidi" w:eastAsiaTheme="majorEastAsia" w:hAnsiTheme="majorHAnsi"/>
      <w:i/>
      <w:iCs/>
      <w:color w:val="404040" w:themeColor="text1" w:themeTint="bf"/>
      <w:kern w:val="0"/>
      <w14:ligatures w14:val="none"/>
    </w:rPr>
  </w:style>
  <w:style w:type="paragraph" w:styleId="Heading8">
    <w:name w:val="Heading 8"/>
    <w:basedOn w:val="Normal"/>
    <w:next w:val="Normal"/>
    <w:link w:val="Heading8Char"/>
    <w:uiPriority w:val="9"/>
    <w:unhideWhenUsed/>
    <w:qFormat/>
    <w:rsid w:val="00b83d67"/>
    <w:pPr>
      <w:keepNext w:val="true"/>
      <w:keepLines/>
      <w:spacing w:before="200" w:after="0"/>
      <w:ind w:start="1440" w:hanging="1440"/>
      <w:outlineLvl w:val="7"/>
    </w:pPr>
    <w:rPr>
      <w:rFonts w:ascii="Arial" w:hAnsi="Arial" w:eastAsia="DejaVu Sans" w:cs="DejaVu Sans" w:asciiTheme="majorHAnsi" w:cstheme="majorBidi" w:eastAsiaTheme="majorEastAsia" w:hAnsiTheme="majorHAnsi"/>
      <w:color w:val="404040" w:themeColor="text1" w:themeTint="bf"/>
      <w:kern w:val="0"/>
      <w:sz w:val="20"/>
      <w:szCs w:val="20"/>
      <w14:ligatures w14:val="none"/>
    </w:rPr>
  </w:style>
  <w:style w:type="paragraph" w:styleId="Heading9">
    <w:name w:val="Heading 9"/>
    <w:basedOn w:val="Normal"/>
    <w:next w:val="Normal"/>
    <w:link w:val="Heading9Char"/>
    <w:uiPriority w:val="9"/>
    <w:unhideWhenUsed/>
    <w:qFormat/>
    <w:rsid w:val="00b83d67"/>
    <w:pPr>
      <w:keepNext w:val="true"/>
      <w:keepLines/>
      <w:spacing w:before="200" w:after="0"/>
      <w:ind w:start="1584" w:hanging="1584"/>
      <w:outlineLvl w:val="8"/>
    </w:pPr>
    <w:rPr>
      <w:rFonts w:ascii="Arial" w:hAnsi="Arial" w:eastAsia="DejaVu Sans" w:cs="DejaVu Sans" w:asciiTheme="majorHAnsi" w:cstheme="majorBidi" w:eastAsiaTheme="majorEastAsia" w:hAnsiTheme="majorHAnsi"/>
      <w:i/>
      <w:iCs/>
      <w:color w:val="404040" w:themeColor="text1" w:themeTint="bf"/>
      <w:kern w:val="0"/>
      <w:sz w:val="20"/>
      <w:szCs w:val="20"/>
      <w14:ligatures w14:val="none"/>
    </w:rPr>
  </w:style>
  <w:style w:type="character" w:styleId="DefaultParagraphFont" w:default="1">
    <w:name w:val="Default Paragraph Font"/>
    <w:uiPriority w:val="1"/>
    <w:semiHidden/>
    <w:unhideWhenUsed/>
    <w:qFormat/>
    <w:rPr/>
  </w:style>
  <w:style w:type="character" w:styleId="CommentTextChar" w:customStyle="1">
    <w:name w:val="Comment Text Char"/>
    <w:basedOn w:val="DefaultParagraphFont"/>
    <w:link w:val="Annotationtext"/>
    <w:uiPriority w:val="99"/>
    <w:qFormat/>
    <w:rsid w:val="005b797e"/>
    <w:rPr>
      <w:sz w:val="20"/>
      <w:szCs w:val="20"/>
      <w:lang w:val="sr-RS"/>
    </w:rPr>
  </w:style>
  <w:style w:type="character" w:styleId="CommentTextChar1" w:customStyle="1">
    <w:name w:val="Comment Text Char1"/>
    <w:basedOn w:val="DefaultParagraphFont"/>
    <w:uiPriority w:val="99"/>
    <w:semiHidden/>
    <w:qFormat/>
    <w:rsid w:val="005b797e"/>
    <w:rPr>
      <w:sz w:val="20"/>
      <w:szCs w:val="20"/>
    </w:rPr>
  </w:style>
  <w:style w:type="character" w:styleId="Annotationreference">
    <w:name w:val="annotation reference"/>
    <w:basedOn w:val="DefaultParagraphFont"/>
    <w:uiPriority w:val="99"/>
    <w:semiHidden/>
    <w:unhideWhenUsed/>
    <w:qFormat/>
    <w:rsid w:val="005b797e"/>
    <w:rPr>
      <w:sz w:val="16"/>
      <w:szCs w:val="16"/>
    </w:rPr>
  </w:style>
  <w:style w:type="character" w:styleId="Heading1Char" w:customStyle="1">
    <w:name w:val="Heading 1 Char"/>
    <w:basedOn w:val="DefaultParagraphFont"/>
    <w:link w:val="Heading1"/>
    <w:uiPriority w:val="9"/>
    <w:qFormat/>
    <w:rsid w:val="00597447"/>
    <w:rPr>
      <w:rFonts w:ascii="Arial" w:hAnsi="Arial" w:eastAsia="DejaVu Sans" w:cs="DejaVu Sans" w:asciiTheme="majorHAnsi" w:cstheme="majorBidi" w:eastAsiaTheme="majorEastAsia" w:hAnsiTheme="majorHAnsi"/>
      <w:color w:val="2F5496" w:themeColor="accent1" w:themeShade="bf"/>
      <w:sz w:val="32"/>
      <w:szCs w:val="32"/>
    </w:rPr>
  </w:style>
  <w:style w:type="character" w:styleId="FootnoteTextChar" w:customStyle="1">
    <w:name w:val="Footnote Text Char"/>
    <w:basedOn w:val="DefaultParagraphFont"/>
    <w:link w:val="FootnoteText"/>
    <w:uiPriority w:val="99"/>
    <w:qFormat/>
    <w:rsid w:val="009c2227"/>
    <w:rPr>
      <w:sz w:val="20"/>
      <w:szCs w:val="20"/>
    </w:rPr>
  </w:style>
  <w:style w:type="character" w:styleId="FootnoteCharacters" w:customStyle="1">
    <w:name w:val="Footnote Characters"/>
    <w:link w:val="16PointChar1Char"/>
    <w:uiPriority w:val="99"/>
    <w:unhideWhenUsed/>
    <w:qFormat/>
    <w:rsid w:val="00476678"/>
    <w:rPr>
      <w:vertAlign w:val="superscript"/>
    </w:rPr>
  </w:style>
  <w:style w:type="character" w:styleId="FootnoteAnchor">
    <w:name w:val="Footnote Anchor"/>
    <w:rPr>
      <w:vertAlign w:val="superscript"/>
    </w:rPr>
  </w:style>
  <w:style w:type="character" w:styleId="Heading2Char" w:customStyle="1">
    <w:name w:val="Heading 2 Char"/>
    <w:basedOn w:val="DefaultParagraphFont"/>
    <w:link w:val="Heading2"/>
    <w:uiPriority w:val="9"/>
    <w:qFormat/>
    <w:rsid w:val="00ad10ec"/>
    <w:rPr>
      <w:rFonts w:ascii="Arial" w:hAnsi="Arial" w:eastAsia="DejaVu Sans" w:cs="DejaVu Sans" w:asciiTheme="majorHAnsi" w:cstheme="majorBidi" w:eastAsiaTheme="majorEastAsia" w:hAnsiTheme="majorHAnsi"/>
      <w:color w:val="2F5496" w:themeColor="accent1" w:themeShade="bf"/>
      <w:sz w:val="26"/>
      <w:szCs w:val="26"/>
    </w:rPr>
  </w:style>
  <w:style w:type="character" w:styleId="Heading3Char" w:customStyle="1">
    <w:name w:val="Heading 3 Char"/>
    <w:basedOn w:val="DefaultParagraphFont"/>
    <w:link w:val="Heading3"/>
    <w:uiPriority w:val="9"/>
    <w:qFormat/>
    <w:rsid w:val="00a91587"/>
    <w:rPr>
      <w:rFonts w:ascii="Arial" w:hAnsi="Arial" w:eastAsia="DejaVu Sans" w:cs="DejaVu Sans" w:asciiTheme="majorHAnsi" w:cstheme="majorBidi" w:eastAsiaTheme="majorEastAsia" w:hAnsiTheme="majorHAnsi"/>
      <w:color w:val="1F3763" w:themeColor="accent1" w:themeShade="7f"/>
      <w:sz w:val="24"/>
      <w:szCs w:val="24"/>
    </w:rPr>
  </w:style>
  <w:style w:type="character" w:styleId="InternetLink">
    <w:name w:val="Hyperlink"/>
    <w:basedOn w:val="DefaultParagraphFont"/>
    <w:uiPriority w:val="99"/>
    <w:unhideWhenUsed/>
    <w:rsid w:val="00ac062f"/>
    <w:rPr>
      <w:color w:val="0563C1" w:themeColor="hyperlink"/>
      <w:u w:val="single"/>
    </w:rPr>
  </w:style>
  <w:style w:type="character" w:styleId="Heading5Char" w:customStyle="1">
    <w:name w:val="Heading 5 Char"/>
    <w:basedOn w:val="DefaultParagraphFont"/>
    <w:link w:val="Heading5"/>
    <w:uiPriority w:val="9"/>
    <w:qFormat/>
    <w:rsid w:val="002626a1"/>
    <w:rPr>
      <w:rFonts w:ascii="Arial" w:hAnsi="Arial" w:eastAsia="DejaVu Sans" w:cs="DejaVu Sans" w:asciiTheme="majorHAnsi" w:cstheme="majorBidi" w:eastAsiaTheme="majorEastAsia" w:hAnsiTheme="majorHAnsi"/>
      <w:color w:val="2F5496" w:themeColor="accent1" w:themeShade="bf"/>
    </w:rPr>
  </w:style>
  <w:style w:type="character" w:styleId="Heading4Char" w:customStyle="1">
    <w:name w:val="Heading 4 Char"/>
    <w:basedOn w:val="DefaultParagraphFont"/>
    <w:link w:val="Heading4"/>
    <w:uiPriority w:val="9"/>
    <w:qFormat/>
    <w:rsid w:val="00b83d67"/>
    <w:rPr>
      <w:rFonts w:ascii="Arial" w:hAnsi="Arial" w:eastAsia="DejaVu Sans" w:cs="DejaVu Sans" w:asciiTheme="majorHAnsi" w:cstheme="majorBidi" w:eastAsiaTheme="majorEastAsia" w:hAnsiTheme="majorHAnsi"/>
      <w:b/>
      <w:bCs/>
      <w:i/>
      <w:iCs/>
      <w:color w:val="000000" w:themeColor="text1"/>
      <w:kern w:val="0"/>
      <w14:ligatures w14:val="none"/>
    </w:rPr>
  </w:style>
  <w:style w:type="character" w:styleId="Heading6Char" w:customStyle="1">
    <w:name w:val="Heading 6 Char"/>
    <w:basedOn w:val="DefaultParagraphFont"/>
    <w:link w:val="Heading6"/>
    <w:uiPriority w:val="9"/>
    <w:qFormat/>
    <w:rsid w:val="00b83d67"/>
    <w:rPr>
      <w:rFonts w:ascii="Arial" w:hAnsi="Arial" w:eastAsia="DejaVu Sans" w:cs="DejaVu Sans" w:asciiTheme="majorHAnsi" w:cstheme="majorBidi" w:eastAsiaTheme="majorEastAsia" w:hAnsiTheme="majorHAnsi"/>
      <w:i/>
      <w:iCs/>
      <w:color w:val="323E4F" w:themeColor="text2" w:themeShade="bf"/>
      <w:kern w:val="0"/>
      <w14:ligatures w14:val="none"/>
    </w:rPr>
  </w:style>
  <w:style w:type="character" w:styleId="Heading7Char" w:customStyle="1">
    <w:name w:val="Heading 7 Char"/>
    <w:basedOn w:val="DefaultParagraphFont"/>
    <w:link w:val="Heading7"/>
    <w:uiPriority w:val="9"/>
    <w:qFormat/>
    <w:rsid w:val="00b83d67"/>
    <w:rPr>
      <w:rFonts w:ascii="Arial" w:hAnsi="Arial" w:eastAsia="DejaVu Sans" w:cs="DejaVu Sans" w:asciiTheme="majorHAnsi" w:cstheme="majorBidi" w:eastAsiaTheme="majorEastAsia" w:hAnsiTheme="majorHAnsi"/>
      <w:i/>
      <w:iCs/>
      <w:color w:val="404040" w:themeColor="text1" w:themeTint="bf"/>
      <w:kern w:val="0"/>
      <w14:ligatures w14:val="none"/>
    </w:rPr>
  </w:style>
  <w:style w:type="character" w:styleId="Heading8Char" w:customStyle="1">
    <w:name w:val="Heading 8 Char"/>
    <w:basedOn w:val="DefaultParagraphFont"/>
    <w:link w:val="Heading8"/>
    <w:uiPriority w:val="9"/>
    <w:qFormat/>
    <w:rsid w:val="00b83d67"/>
    <w:rPr>
      <w:rFonts w:ascii="Arial" w:hAnsi="Arial" w:eastAsia="DejaVu Sans" w:cs="DejaVu Sans" w:asciiTheme="majorHAnsi" w:cstheme="majorBidi" w:eastAsiaTheme="majorEastAsia" w:hAnsiTheme="majorHAnsi"/>
      <w:color w:val="404040" w:themeColor="text1" w:themeTint="bf"/>
      <w:kern w:val="0"/>
      <w:sz w:val="20"/>
      <w:szCs w:val="20"/>
      <w14:ligatures w14:val="none"/>
    </w:rPr>
  </w:style>
  <w:style w:type="character" w:styleId="Heading9Char" w:customStyle="1">
    <w:name w:val="Heading 9 Char"/>
    <w:basedOn w:val="DefaultParagraphFont"/>
    <w:link w:val="Heading9"/>
    <w:uiPriority w:val="9"/>
    <w:qFormat/>
    <w:rsid w:val="00b83d67"/>
    <w:rPr>
      <w:rFonts w:ascii="Arial" w:hAnsi="Arial" w:eastAsia="DejaVu Sans" w:cs="DejaVu Sans" w:asciiTheme="majorHAnsi" w:cstheme="majorBidi" w:eastAsiaTheme="majorEastAsia" w:hAnsiTheme="majorHAnsi"/>
      <w:i/>
      <w:iCs/>
      <w:color w:val="404040" w:themeColor="text1" w:themeTint="bf"/>
      <w:kern w:val="0"/>
      <w:sz w:val="20"/>
      <w:szCs w:val="20"/>
      <w14:ligatures w14:val="none"/>
    </w:rPr>
  </w:style>
  <w:style w:type="character" w:styleId="BalloonTextChar" w:customStyle="1">
    <w:name w:val="Balloon Text Char"/>
    <w:basedOn w:val="DefaultParagraphFont"/>
    <w:link w:val="BalloonText"/>
    <w:uiPriority w:val="99"/>
    <w:semiHidden/>
    <w:qFormat/>
    <w:rsid w:val="00b83d67"/>
    <w:rPr>
      <w:rFonts w:ascii="Tahoma" w:hAnsi="Tahoma" w:eastAsia="Times New Roman" w:cs="Tahoma"/>
      <w:sz w:val="16"/>
      <w:szCs w:val="16"/>
      <w:lang w:val="sr-RS"/>
    </w:rPr>
  </w:style>
  <w:style w:type="character" w:styleId="BalloonTextChar1" w:customStyle="1">
    <w:name w:val="Balloon Text Char1"/>
    <w:basedOn w:val="DefaultParagraphFont"/>
    <w:uiPriority w:val="99"/>
    <w:semiHidden/>
    <w:qFormat/>
    <w:rsid w:val="00b83d67"/>
    <w:rPr>
      <w:rFonts w:ascii="Segoe UI" w:hAnsi="Segoe UI" w:cs="Segoe UI"/>
      <w:sz w:val="18"/>
      <w:szCs w:val="18"/>
    </w:rPr>
  </w:style>
  <w:style w:type="character" w:styleId="ListParagraphChar" w:customStyle="1">
    <w:name w:val="List Paragraph Char"/>
    <w:link w:val="ListParagraph"/>
    <w:uiPriority w:val="34"/>
    <w:qFormat/>
    <w:rsid w:val="00b83d67"/>
    <w:rPr/>
  </w:style>
  <w:style w:type="character" w:styleId="CommentSubjectChar" w:customStyle="1">
    <w:name w:val="Comment Subject Char"/>
    <w:basedOn w:val="CommentTextChar"/>
    <w:link w:val="Annotationsubject"/>
    <w:uiPriority w:val="99"/>
    <w:semiHidden/>
    <w:qFormat/>
    <w:rsid w:val="00b83d67"/>
    <w:rPr>
      <w:b/>
      <w:bCs/>
      <w:sz w:val="20"/>
      <w:szCs w:val="20"/>
      <w:lang w:val="sr-RS"/>
    </w:rPr>
  </w:style>
  <w:style w:type="character" w:styleId="CommentSubjectChar1" w:customStyle="1">
    <w:name w:val="Comment Subject Char1"/>
    <w:basedOn w:val="CommentTextChar"/>
    <w:uiPriority w:val="99"/>
    <w:semiHidden/>
    <w:qFormat/>
    <w:rsid w:val="00b83d67"/>
    <w:rPr>
      <w:b/>
      <w:bCs/>
      <w:sz w:val="20"/>
      <w:szCs w:val="20"/>
      <w:lang w:val="sr-RS"/>
    </w:rPr>
  </w:style>
  <w:style w:type="character" w:styleId="HeaderChar" w:customStyle="1">
    <w:name w:val="Header Char"/>
    <w:basedOn w:val="DefaultParagraphFont"/>
    <w:link w:val="Header"/>
    <w:uiPriority w:val="99"/>
    <w:qFormat/>
    <w:rsid w:val="00b83d67"/>
    <w:rPr>
      <w:kern w:val="0"/>
      <w14:ligatures w14:val="none"/>
    </w:rPr>
  </w:style>
  <w:style w:type="character" w:styleId="FooterChar" w:customStyle="1">
    <w:name w:val="Footer Char"/>
    <w:basedOn w:val="DefaultParagraphFont"/>
    <w:link w:val="Footer"/>
    <w:uiPriority w:val="99"/>
    <w:qFormat/>
    <w:rsid w:val="00b83d67"/>
    <w:rPr>
      <w:kern w:val="0"/>
      <w14:ligatures w14:val="none"/>
    </w:rPr>
  </w:style>
  <w:style w:type="character" w:styleId="TitleChar" w:customStyle="1">
    <w:name w:val="Title Char"/>
    <w:basedOn w:val="DefaultParagraphFont"/>
    <w:link w:val="Title"/>
    <w:uiPriority w:val="10"/>
    <w:qFormat/>
    <w:rsid w:val="00b83d67"/>
    <w:rPr>
      <w:rFonts w:ascii="Arial" w:hAnsi="Arial" w:eastAsia="DejaVu Sans" w:cs="DejaVu Sans" w:asciiTheme="majorHAnsi" w:cstheme="majorBidi" w:eastAsiaTheme="majorEastAsia" w:hAnsiTheme="majorHAnsi"/>
      <w:color w:val="000000" w:themeColor="text1"/>
      <w:kern w:val="0"/>
      <w:sz w:val="56"/>
      <w:szCs w:val="56"/>
      <w14:ligatures w14:val="none"/>
    </w:rPr>
  </w:style>
  <w:style w:type="character" w:styleId="SubtitleChar" w:customStyle="1">
    <w:name w:val="Subtitle Char"/>
    <w:basedOn w:val="DefaultParagraphFont"/>
    <w:link w:val="Subtitle"/>
    <w:uiPriority w:val="11"/>
    <w:qFormat/>
    <w:rsid w:val="00b83d67"/>
    <w:rPr>
      <w:rFonts w:eastAsia="DejaVu Sans" w:eastAsiaTheme="minorEastAsia"/>
      <w:color w:val="5A5A5A" w:themeColor="text1" w:themeTint="a5"/>
      <w:spacing w:val="10"/>
      <w:kern w:val="0"/>
      <w14:ligatures w14:val="none"/>
    </w:rPr>
  </w:style>
  <w:style w:type="character" w:styleId="Strong">
    <w:name w:val="Strong"/>
    <w:basedOn w:val="DefaultParagraphFont"/>
    <w:uiPriority w:val="22"/>
    <w:qFormat/>
    <w:rsid w:val="00b83d67"/>
    <w:rPr>
      <w:b/>
      <w:bCs/>
      <w:color w:val="000000" w:themeColor="text1"/>
    </w:rPr>
  </w:style>
  <w:style w:type="character" w:styleId="Emphasis">
    <w:name w:val="Emphasis"/>
    <w:basedOn w:val="DefaultParagraphFont"/>
    <w:uiPriority w:val="20"/>
    <w:qFormat/>
    <w:rsid w:val="00b83d67"/>
    <w:rPr>
      <w:i/>
      <w:iCs/>
      <w:color w:val="auto"/>
    </w:rPr>
  </w:style>
  <w:style w:type="character" w:styleId="QuoteChar" w:customStyle="1">
    <w:name w:val="Quote Char"/>
    <w:basedOn w:val="DefaultParagraphFont"/>
    <w:link w:val="Quote"/>
    <w:uiPriority w:val="29"/>
    <w:qFormat/>
    <w:rsid w:val="00b83d67"/>
    <w:rPr>
      <w:rFonts w:eastAsia="DejaVu Sans" w:eastAsiaTheme="minorEastAsia"/>
      <w:i/>
      <w:iCs/>
      <w:color w:val="000000" w:themeColor="text1"/>
      <w:kern w:val="0"/>
      <w14:ligatures w14:val="none"/>
    </w:rPr>
  </w:style>
  <w:style w:type="character" w:styleId="IntenseQuoteChar" w:customStyle="1">
    <w:name w:val="Intense Quote Char"/>
    <w:basedOn w:val="DefaultParagraphFont"/>
    <w:link w:val="IntenseQuote"/>
    <w:uiPriority w:val="30"/>
    <w:qFormat/>
    <w:rsid w:val="00b83d67"/>
    <w:rPr>
      <w:rFonts w:eastAsia="DejaVu Sans" w:eastAsiaTheme="minorEastAsia"/>
      <w:color w:val="000000" w:themeColor="text1"/>
      <w:kern w:val="0"/>
      <w:shd w:fill="F2F2F2" w:val="clear"/>
      <w14:ligatures w14:val="none"/>
    </w:rPr>
  </w:style>
  <w:style w:type="character" w:styleId="SubtleEmphasis">
    <w:name w:val="Subtle Emphasis"/>
    <w:basedOn w:val="DefaultParagraphFont"/>
    <w:uiPriority w:val="19"/>
    <w:qFormat/>
    <w:rsid w:val="00b83d67"/>
    <w:rPr>
      <w:i/>
      <w:iCs/>
      <w:color w:val="404040" w:themeColor="text1" w:themeTint="bf"/>
    </w:rPr>
  </w:style>
  <w:style w:type="character" w:styleId="IntenseEmphasis">
    <w:name w:val="Intense Emphasis"/>
    <w:basedOn w:val="DefaultParagraphFont"/>
    <w:uiPriority w:val="21"/>
    <w:qFormat/>
    <w:rsid w:val="00b83d67"/>
    <w:rPr>
      <w:b/>
      <w:bCs/>
      <w:i/>
      <w:iCs/>
      <w:caps/>
    </w:rPr>
  </w:style>
  <w:style w:type="character" w:styleId="SubtleReference">
    <w:name w:val="Subtle Reference"/>
    <w:basedOn w:val="DefaultParagraphFont"/>
    <w:uiPriority w:val="31"/>
    <w:qFormat/>
    <w:rsid w:val="00b83d67"/>
    <w:rPr>
      <w:smallCaps/>
      <w:color w:val="404040" w:themeColor="text1" w:themeTint="bf"/>
      <w:u w:val="single" w:color="7F7F7F"/>
    </w:rPr>
  </w:style>
  <w:style w:type="character" w:styleId="IntenseReference">
    <w:name w:val="Intense Reference"/>
    <w:basedOn w:val="DefaultParagraphFont"/>
    <w:uiPriority w:val="32"/>
    <w:qFormat/>
    <w:rsid w:val="00b83d67"/>
    <w:rPr>
      <w:b/>
      <w:bCs/>
      <w:smallCaps/>
      <w:u w:val="single"/>
    </w:rPr>
  </w:style>
  <w:style w:type="character" w:styleId="BookTitle">
    <w:name w:val="Book Title"/>
    <w:basedOn w:val="DefaultParagraphFont"/>
    <w:uiPriority w:val="33"/>
    <w:qFormat/>
    <w:rsid w:val="00b83d67"/>
    <w:rPr>
      <w:b w:val="false"/>
      <w:bCs w:val="false"/>
      <w:smallCaps/>
      <w:spacing w:val="5"/>
    </w:rPr>
  </w:style>
  <w:style w:type="character" w:styleId="UnresolvedMention" w:customStyle="1">
    <w:name w:val="Unresolved Mention"/>
    <w:basedOn w:val="DefaultParagraphFont"/>
    <w:uiPriority w:val="99"/>
    <w:semiHidden/>
    <w:unhideWhenUsed/>
    <w:qFormat/>
    <w:rsid w:val="00b83d67"/>
    <w:rPr>
      <w:color w:val="605E5C"/>
      <w:shd w:fill="E1DFDD" w:val="clear"/>
    </w:rPr>
  </w:style>
  <w:style w:type="character" w:styleId="VisitedInternetLink">
    <w:name w:val="FollowedHyperlink"/>
    <w:basedOn w:val="DefaultParagraphFont"/>
    <w:uiPriority w:val="99"/>
    <w:semiHidden/>
    <w:unhideWhenUsed/>
    <w:rsid w:val="00b83d67"/>
    <w:rPr>
      <w:color w:val="954F72" w:themeColor="followedHyperlink"/>
      <w:u w:val="single"/>
    </w:rPr>
  </w:style>
  <w:style w:type="character" w:styleId="Mention" w:customStyle="1">
    <w:name w:val="Mention"/>
    <w:basedOn w:val="DefaultParagraphFont"/>
    <w:uiPriority w:val="99"/>
    <w:unhideWhenUsed/>
    <w:qFormat/>
    <w:rsid w:val="005a1869"/>
    <w:rPr>
      <w:color w:val="2B579A"/>
      <w:shd w:fill="E1DFDD" w:val="clear"/>
    </w:rPr>
  </w:style>
  <w:style w:type="character" w:styleId="ZTopofFormChar" w:customStyle="1">
    <w:name w:val="z-Top of Form Char"/>
    <w:basedOn w:val="DefaultParagraphFont"/>
    <w:link w:val="HTMLTopofForm"/>
    <w:uiPriority w:val="99"/>
    <w:semiHidden/>
    <w:qFormat/>
    <w:rsid w:val="005b0caf"/>
    <w:rPr>
      <w:rFonts w:ascii="Arial" w:hAnsi="Arial" w:eastAsia="Times New Roman" w:cs="Arial"/>
      <w:vanish/>
      <w:kern w:val="0"/>
      <w:sz w:val="16"/>
      <w:szCs w:val="16"/>
      <w:lang w:val="sr-Latn-RS" w:eastAsia="sr-Latn-RS"/>
      <w14:ligatures w14:val="none"/>
    </w:rPr>
  </w:style>
  <w:style w:type="character" w:styleId="ZBottomofFormChar" w:customStyle="1">
    <w:name w:val="z-Bottom of Form Char"/>
    <w:basedOn w:val="DefaultParagraphFont"/>
    <w:link w:val="HTMLBottomofForm"/>
    <w:uiPriority w:val="99"/>
    <w:semiHidden/>
    <w:qFormat/>
    <w:rsid w:val="005b0caf"/>
    <w:rPr>
      <w:rFonts w:ascii="Arial" w:hAnsi="Arial" w:eastAsia="Times New Roman" w:cs="Arial"/>
      <w:vanish/>
      <w:kern w:val="0"/>
      <w:sz w:val="16"/>
      <w:szCs w:val="16"/>
      <w:lang w:val="sr-Latn-RS" w:eastAsia="sr-Latn-RS"/>
      <w14:ligatures w14:val="none"/>
    </w:rPr>
  </w:style>
  <w:style w:type="character" w:styleId="NoSpacingChar" w:customStyle="1">
    <w:name w:val="No Spacing Char"/>
    <w:link w:val="NoSpacing"/>
    <w:uiPriority w:val="1"/>
    <w:qFormat/>
    <w:locked/>
    <w:rsid w:val="00417de8"/>
    <w:rPr>
      <w:rFonts w:eastAsia="DejaVu Sans" w:eastAsiaTheme="minorEastAsia"/>
      <w:kern w:val="0"/>
      <w14:ligatures w14:val="none"/>
    </w:rPr>
  </w:style>
  <w:style w:type="character" w:styleId="Autostyle1" w:customStyle="1">
    <w:name w:val="auto-style1"/>
    <w:basedOn w:val="DefaultParagraphFont"/>
    <w:qFormat/>
    <w:rsid w:val="00417de8"/>
    <w:rPr/>
  </w:style>
  <w:style w:type="character" w:styleId="FootnotedescriptionChar" w:customStyle="1">
    <w:name w:val="footnote description Char"/>
    <w:link w:val="Footnotedescription"/>
    <w:qFormat/>
    <w:rsid w:val="00c032fe"/>
    <w:rPr>
      <w:rFonts w:ascii="Tahoma" w:hAnsi="Tahoma" w:eastAsia="Tahoma" w:cs="Tahoma"/>
      <w:color w:val="000000"/>
      <w:kern w:val="0"/>
      <w:sz w:val="16"/>
      <w:lang w:val="sr-Latn-RS" w:eastAsia="sr-Latn-RS"/>
      <w14:ligatures w14:val="none"/>
    </w:rPr>
  </w:style>
  <w:style w:type="character" w:styleId="Footnotemark" w:customStyle="1">
    <w:name w:val="footnote mark"/>
    <w:qFormat/>
    <w:rsid w:val="00c032fe"/>
    <w:rPr>
      <w:rFonts w:ascii="Tahoma" w:hAnsi="Tahoma" w:eastAsia="Tahoma" w:cs="Tahoma"/>
      <w:color w:val="000000"/>
      <w:sz w:val="16"/>
      <w:vertAlign w:val="superscript"/>
    </w:rPr>
  </w:style>
  <w:style w:type="character" w:styleId="Cf01" w:customStyle="1">
    <w:name w:val="cf01"/>
    <w:basedOn w:val="DefaultParagraphFont"/>
    <w:qFormat/>
    <w:rsid w:val="00523fd4"/>
    <w:rPr>
      <w:rFonts w:ascii="Segoe UI" w:hAnsi="Segoe UI" w:cs="Segoe UI"/>
      <w:sz w:val="18"/>
      <w:szCs w:val="18"/>
    </w:rPr>
  </w:style>
  <w:style w:type="character" w:styleId="None" w:customStyle="1">
    <w:name w:val="None"/>
    <w:qFormat/>
    <w:rsid w:val="007268d8"/>
    <w:rPr/>
  </w:style>
  <w:style w:type="character" w:styleId="Hyperlink8" w:customStyle="1">
    <w:name w:val="Hyperlink.8"/>
    <w:qFormat/>
    <w:rsid w:val="007268d8"/>
    <w:rPr>
      <w:rFonts w:ascii="Times New Roman" w:hAnsi="Times New Roman"/>
      <w:sz w:val="18"/>
      <w:szCs w:val="18"/>
      <w:lang w:val="en-US"/>
    </w:rPr>
  </w:style>
  <w:style w:type="character" w:styleId="BodyAChar" w:customStyle="1">
    <w:name w:val="Body A Char"/>
    <w:basedOn w:val="DefaultParagraphFont"/>
    <w:link w:val="BodyA"/>
    <w:qFormat/>
    <w:rsid w:val="005c01c7"/>
    <w:rPr>
      <w:rFonts w:ascii="Times New Roman" w:hAnsi="Times New Roman" w:eastAsia="Arial Unicode MS" w:cs="Times New Roman"/>
      <w:kern w:val="0"/>
      <w:u w:val="none" w:color="000000"/>
      <w:lang w:val="sr-RS"/>
      <w14:ligatures w14:val="none"/>
    </w:rPr>
  </w:style>
  <w:style w:type="character" w:styleId="Autostyle4" w:customStyle="1">
    <w:name w:val="auto-style4"/>
    <w:basedOn w:val="DefaultParagraphFont"/>
    <w:qFormat/>
    <w:rsid w:val="005c01c7"/>
    <w:rPr/>
  </w:style>
  <w:style w:type="character" w:styleId="BodyTextIndentChar" w:customStyle="1">
    <w:name w:val="Body Text Indent Char"/>
    <w:basedOn w:val="DefaultParagraphFont"/>
    <w:qFormat/>
    <w:rsid w:val="00bf2ced"/>
    <w:rPr>
      <w:rFonts w:ascii="Times New Roman" w:hAnsi="Times New Roman" w:eastAsia="Times New Roman" w:cs="Times New Roman"/>
      <w:kern w:val="0"/>
      <w:sz w:val="24"/>
      <w:szCs w:val="24"/>
      <w:lang w:val="sr-CS"/>
      <w14:ligatures w14:val="none"/>
    </w:rPr>
  </w:style>
  <w:style w:type="character" w:styleId="BodyTextChar" w:customStyle="1">
    <w:name w:val="Body Text Char"/>
    <w:basedOn w:val="DefaultParagraphFont"/>
    <w:qFormat/>
    <w:rsid w:val="00bf2ced"/>
    <w:rPr>
      <w:rFonts w:ascii="Times New Roman" w:hAnsi="Times New Roman" w:eastAsia="Times New Roman" w:cs="Times New Roman"/>
      <w:kern w:val="0"/>
      <w:sz w:val="24"/>
      <w:szCs w:val="24"/>
      <w:lang w:val="en-GB"/>
      <w14:ligatures w14:val="none"/>
    </w:rPr>
  </w:style>
  <w:style w:type="character" w:styleId="Nerazreenopominjanje1" w:customStyle="1">
    <w:name w:val="Nerazrešeno pominjanje1"/>
    <w:basedOn w:val="DefaultParagraphFont"/>
    <w:uiPriority w:val="99"/>
    <w:semiHidden/>
    <w:unhideWhenUsed/>
    <w:qFormat/>
    <w:rsid w:val="00476678"/>
    <w:rPr>
      <w:color w:val="605E5C"/>
      <w:shd w:fill="E1DFDD" w:val="clear"/>
    </w:rPr>
  </w:style>
  <w:style w:type="character" w:styleId="Pomenite1" w:customStyle="1">
    <w:name w:val="Pomenite1"/>
    <w:basedOn w:val="DefaultParagraphFont"/>
    <w:uiPriority w:val="99"/>
    <w:unhideWhenUsed/>
    <w:qFormat/>
    <w:rsid w:val="00476678"/>
    <w:rPr>
      <w:color w:val="2B579A"/>
      <w:shd w:fill="E1DFDD" w:val="clear"/>
    </w:rPr>
  </w:style>
  <w:style w:type="character" w:styleId="Overflowhidden" w:customStyle="1">
    <w:name w:val="overflow-hidden"/>
    <w:basedOn w:val="DefaultParagraphFont"/>
    <w:qFormat/>
    <w:rsid w:val="00476678"/>
    <w:rPr/>
  </w:style>
  <w:style w:type="character" w:styleId="EndnoteCharacters" w:customStyle="1">
    <w:name w:val="Endnote Characters"/>
    <w:qFormat/>
    <w:rsid w:val="00476678"/>
    <w:rPr>
      <w:vertAlign w:val="superscript"/>
    </w:rPr>
  </w:style>
  <w:style w:type="character" w:styleId="EndnoteAnchor">
    <w:name w:val="Endnote Anchor"/>
    <w:rPr>
      <w:vertAlign w:val="superscript"/>
    </w:rPr>
  </w:style>
  <w:style w:type="character" w:styleId="CommentTextChar2" w:customStyle="1">
    <w:name w:val="Comment Text Char2"/>
    <w:basedOn w:val="DefaultParagraphFont"/>
    <w:uiPriority w:val="99"/>
    <w:semiHidden/>
    <w:qFormat/>
    <w:rsid w:val="00476678"/>
    <w:rPr>
      <w:rFonts w:ascii="Calibri" w:hAnsi="Calibri" w:eastAsia="Calibri"/>
      <w:kern w:val="2"/>
      <w:sz w:val="20"/>
      <w:szCs w:val="20"/>
      <w:lang w:val="en-US"/>
      <w14:ligatures w14:val="standardContextual"/>
    </w:rPr>
  </w:style>
  <w:style w:type="character" w:styleId="BalloonTextChar2" w:customStyle="1">
    <w:name w:val="Balloon Text Char2"/>
    <w:basedOn w:val="DefaultParagraphFont"/>
    <w:uiPriority w:val="99"/>
    <w:semiHidden/>
    <w:qFormat/>
    <w:rsid w:val="00476678"/>
    <w:rPr>
      <w:rFonts w:ascii="Segoe UI" w:hAnsi="Segoe UI" w:eastAsia="Calibri" w:cs="Segoe UI"/>
      <w:kern w:val="2"/>
      <w:sz w:val="18"/>
      <w:szCs w:val="18"/>
      <w:lang w:val="en-US"/>
      <w14:ligatures w14:val="standardContextual"/>
    </w:rPr>
  </w:style>
  <w:style w:type="character" w:styleId="CommentSubjectChar2" w:customStyle="1">
    <w:name w:val="Comment Subject Char2"/>
    <w:basedOn w:val="CommentTextChar2"/>
    <w:uiPriority w:val="99"/>
    <w:semiHidden/>
    <w:qFormat/>
    <w:rsid w:val="00476678"/>
    <w:rPr>
      <w:rFonts w:ascii="Calibri" w:hAnsi="Calibri" w:eastAsia="Calibri"/>
      <w:b/>
      <w:bCs/>
      <w:kern w:val="2"/>
      <w:sz w:val="20"/>
      <w:szCs w:val="20"/>
      <w:lang w:val="en-US"/>
      <w14:ligatures w14:val="standardContextual"/>
    </w:rPr>
  </w:style>
  <w:style w:type="character" w:styleId="HeaderChar1" w:customStyle="1">
    <w:name w:val="Header Char1"/>
    <w:basedOn w:val="DefaultParagraphFont"/>
    <w:uiPriority w:val="99"/>
    <w:semiHidden/>
    <w:qFormat/>
    <w:rsid w:val="00476678"/>
    <w:rPr>
      <w:rFonts w:ascii="Calibri" w:hAnsi="Calibri" w:eastAsia="Calibri"/>
      <w:kern w:val="2"/>
      <w:lang w:val="en-US"/>
      <w14:ligatures w14:val="standardContextual"/>
    </w:rPr>
  </w:style>
  <w:style w:type="character" w:styleId="FooterChar1" w:customStyle="1">
    <w:name w:val="Footer Char1"/>
    <w:basedOn w:val="DefaultParagraphFont"/>
    <w:uiPriority w:val="99"/>
    <w:semiHidden/>
    <w:qFormat/>
    <w:rsid w:val="00476678"/>
    <w:rPr>
      <w:rFonts w:ascii="Calibri" w:hAnsi="Calibri" w:eastAsia="Calibri"/>
      <w:kern w:val="2"/>
      <w:lang w:val="en-US"/>
      <w14:ligatures w14:val="standardContextual"/>
    </w:rPr>
  </w:style>
  <w:style w:type="character" w:styleId="TitleChar1" w:customStyle="1">
    <w:name w:val="Title Char1"/>
    <w:basedOn w:val="DefaultParagraphFont"/>
    <w:uiPriority w:val="10"/>
    <w:qFormat/>
    <w:rsid w:val="00476678"/>
    <w:rPr>
      <w:rFonts w:ascii="Arial" w:hAnsi="Arial" w:eastAsia="DejaVu Sans" w:cs="DejaVu Sans" w:asciiTheme="majorHAnsi" w:cstheme="majorBidi" w:eastAsiaTheme="majorEastAsia" w:hAnsiTheme="majorHAnsi"/>
      <w:spacing w:val="-10"/>
      <w:kern w:val="2"/>
      <w:sz w:val="56"/>
      <w:szCs w:val="56"/>
      <w:lang w:val="en-US"/>
      <w14:ligatures w14:val="standardContextual"/>
    </w:rPr>
  </w:style>
  <w:style w:type="character" w:styleId="SubtitleChar1" w:customStyle="1">
    <w:name w:val="Subtitle Char1"/>
    <w:basedOn w:val="DefaultParagraphFont"/>
    <w:uiPriority w:val="11"/>
    <w:qFormat/>
    <w:rsid w:val="00476678"/>
    <w:rPr>
      <w:rFonts w:eastAsia="DejaVu Sans" w:eastAsiaTheme="minorEastAsia"/>
      <w:color w:val="5A5A5A" w:themeColor="text1" w:themeTint="a5"/>
      <w:spacing w:val="15"/>
      <w:kern w:val="2"/>
      <w:lang w:val="en-US"/>
      <w14:ligatures w14:val="standardContextual"/>
    </w:rPr>
  </w:style>
  <w:style w:type="character" w:styleId="QuoteChar1" w:customStyle="1">
    <w:name w:val="Quote Char1"/>
    <w:basedOn w:val="DefaultParagraphFont"/>
    <w:uiPriority w:val="29"/>
    <w:qFormat/>
    <w:rsid w:val="00476678"/>
    <w:rPr>
      <w:rFonts w:ascii="Calibri" w:hAnsi="Calibri" w:eastAsia="Calibri"/>
      <w:i/>
      <w:iCs/>
      <w:color w:val="404040" w:themeColor="text1" w:themeTint="bf"/>
      <w:kern w:val="2"/>
      <w:lang w:val="en-US"/>
      <w14:ligatures w14:val="standardContextual"/>
    </w:rPr>
  </w:style>
  <w:style w:type="character" w:styleId="IntenseQuoteChar1" w:customStyle="1">
    <w:name w:val="Intense Quote Char1"/>
    <w:basedOn w:val="DefaultParagraphFont"/>
    <w:uiPriority w:val="30"/>
    <w:qFormat/>
    <w:rsid w:val="00476678"/>
    <w:rPr>
      <w:rFonts w:ascii="Calibri" w:hAnsi="Calibri" w:eastAsia="Calibri"/>
      <w:i/>
      <w:iCs/>
      <w:color w:val="4472C4" w:themeColor="accent1"/>
      <w:kern w:val="2"/>
      <w:lang w:val="en-US"/>
      <w14:ligatures w14:val="standardContextual"/>
    </w:rPr>
  </w:style>
  <w:style w:type="character" w:styleId="ZTopofFormChar1" w:customStyle="1">
    <w:name w:val="z-Top of Form Char1"/>
    <w:basedOn w:val="DefaultParagraphFont"/>
    <w:uiPriority w:val="99"/>
    <w:semiHidden/>
    <w:qFormat/>
    <w:rsid w:val="00476678"/>
    <w:rPr>
      <w:rFonts w:ascii="Arial" w:hAnsi="Arial" w:eastAsia="Calibri" w:cs="Arial"/>
      <w:vanish/>
      <w:kern w:val="2"/>
      <w:sz w:val="16"/>
      <w:szCs w:val="16"/>
      <w:lang w:val="en-US"/>
      <w14:ligatures w14:val="standardContextual"/>
    </w:rPr>
  </w:style>
  <w:style w:type="character" w:styleId="ZBottomofFormChar1" w:customStyle="1">
    <w:name w:val="z-Bottom of Form Char1"/>
    <w:basedOn w:val="DefaultParagraphFont"/>
    <w:uiPriority w:val="99"/>
    <w:semiHidden/>
    <w:qFormat/>
    <w:rsid w:val="00476678"/>
    <w:rPr>
      <w:rFonts w:ascii="Arial" w:hAnsi="Arial" w:eastAsia="Calibri" w:cs="Arial"/>
      <w:vanish/>
      <w:kern w:val="2"/>
      <w:sz w:val="16"/>
      <w:szCs w:val="16"/>
      <w:lang w:val="en-US"/>
      <w14:ligatures w14:val="standardContextual"/>
    </w:rPr>
  </w:style>
  <w:style w:type="character" w:styleId="IndexLink">
    <w:name w:val="Index Link"/>
    <w:qFormat/>
    <w:rPr/>
  </w:style>
  <w:style w:type="character" w:styleId="LineNumbering">
    <w:name w:val="Line Numbering"/>
    <w:rPr/>
  </w:style>
  <w:style w:type="character" w:styleId="Style5">
    <w:name w:val="Попис веза"/>
    <w:qFormat/>
    <w:rPr/>
  </w:style>
  <w:style w:type="character" w:styleId="BodyTextIndent2Char">
    <w:name w:val="Body Text Indent 2 Char"/>
    <w:basedOn w:val="DefaultParagraphFont"/>
    <w:qFormat/>
    <w:rPr>
      <w:rFonts w:eastAsia="Times New Roman" w:cs="Calibri"/>
      <w:lang w:val="sr-RS"/>
    </w:rPr>
  </w:style>
  <w:style w:type="character" w:styleId="UnresolvedMention1">
    <w:name w:val="Unresolved Mention1"/>
    <w:basedOn w:val="DefaultParagraphFont"/>
    <w:qFormat/>
    <w:rPr>
      <w:color w:val="605E5C"/>
      <w:shd w:fill="E1DFDD" w:val="clear"/>
    </w:rPr>
  </w:style>
  <w:style w:type="character" w:styleId="BodyText3Char">
    <w:name w:val="Body Text 3 Char"/>
    <w:basedOn w:val="DefaultParagraphFont"/>
    <w:qFormat/>
    <w:rPr>
      <w:rFonts w:ascii="Times New Roman" w:hAnsi="Times New Roman" w:eastAsia="Times New Roman" w:cs="Times New Roman"/>
      <w:sz w:val="24"/>
      <w:szCs w:val="24"/>
    </w:rPr>
  </w:style>
  <w:style w:type="character" w:styleId="Style6">
    <w:name w:val="Знакови фусноте"/>
    <w:qFormat/>
    <w:rPr>
      <w:vertAlign w:val="superscript"/>
    </w:rPr>
  </w:style>
  <w:style w:type="character" w:styleId="HTMLPreformattedChar">
    <w:name w:val="HTML Preformatted Char"/>
    <w:basedOn w:val="DefaultParagraphFont"/>
    <w:qFormat/>
    <w:rPr>
      <w:rFonts w:ascii="Courier New" w:hAnsi="Courier New" w:eastAsia="Times New Roman" w:cs="Courier New"/>
      <w:sz w:val="20"/>
      <w:szCs w:val="20"/>
      <w:lang w:val="en-GB" w:eastAsia="en-GB"/>
    </w:rPr>
  </w:style>
  <w:style w:type="paragraph" w:styleId="Heading" w:customStyle="1">
    <w:name w:val="Heading"/>
    <w:basedOn w:val="Normal"/>
    <w:next w:val="TextBody"/>
    <w:qFormat/>
    <w:rsid w:val="00476678"/>
    <w:pPr>
      <w:keepNext w:val="true"/>
      <w:suppressAutoHyphens w:val="true"/>
      <w:spacing w:before="240" w:after="120"/>
    </w:pPr>
    <w:rPr>
      <w:rFonts w:ascii="Liberation Sans;Arial" w:hAnsi="Liberation Sans;Arial" w:eastAsia="Microsoft YaHei" w:cs="Mangal"/>
      <w:sz w:val="28"/>
      <w:szCs w:val="28"/>
    </w:rPr>
  </w:style>
  <w:style w:type="paragraph" w:styleId="TextBody">
    <w:name w:val="Body Text"/>
    <w:basedOn w:val="Normal"/>
    <w:link w:val="BodyTextChar"/>
    <w:rsid w:val="00bf2ced"/>
    <w:pPr>
      <w:spacing w:lineRule="auto" w:line="240" w:before="0" w:after="120"/>
    </w:pPr>
    <w:rPr>
      <w:rFonts w:ascii="Times New Roman" w:hAnsi="Times New Roman" w:eastAsia="Times New Roman" w:cs="Times New Roman"/>
      <w:kern w:val="0"/>
      <w:sz w:val="24"/>
      <w:szCs w:val="24"/>
      <w:lang w:val="en-GB"/>
      <w14:ligatures w14:val="none"/>
    </w:rPr>
  </w:style>
  <w:style w:type="paragraph" w:styleId="List">
    <w:name w:val="List"/>
    <w:basedOn w:val="TextBody"/>
    <w:rsid w:val="00476678"/>
    <w:pPr>
      <w:suppressAutoHyphens w:val="true"/>
      <w:spacing w:lineRule="auto" w:line="276" w:before="0" w:after="140"/>
    </w:pPr>
    <w:rPr>
      <w:rFonts w:ascii="Arial" w:hAnsi="Arial" w:eastAsia="Calibri" w:cs="Mangal"/>
      <w:kern w:val="2"/>
      <w:sz w:val="22"/>
      <w:szCs w:val="22"/>
      <w:lang w:val="en-US"/>
      <w14:ligatures w14:val="standardContextual"/>
    </w:rPr>
  </w:style>
  <w:style w:type="paragraph" w:styleId="Caption">
    <w:name w:val="Caption"/>
    <w:basedOn w:val="Normal"/>
    <w:qFormat/>
    <w:pPr>
      <w:suppressLineNumbers/>
      <w:spacing w:before="120" w:after="120"/>
    </w:pPr>
    <w:rPr>
      <w:rFonts w:ascii="Arial" w:hAnsi="Arial" w:cs="Mangal"/>
      <w:i/>
      <w:iCs/>
      <w:sz w:val="24"/>
      <w:szCs w:val="24"/>
    </w:rPr>
  </w:style>
  <w:style w:type="paragraph" w:styleId="Index" w:customStyle="1">
    <w:name w:val="Index"/>
    <w:basedOn w:val="Normal"/>
    <w:qFormat/>
    <w:rsid w:val="00476678"/>
    <w:pPr>
      <w:suppressLineNumbers/>
      <w:suppressAutoHyphens w:val="true"/>
    </w:pPr>
    <w:rPr>
      <w:rFonts w:ascii="Arial" w:hAnsi="Arial" w:eastAsia="Calibri" w:cs="Mangal"/>
    </w:rPr>
  </w:style>
  <w:style w:type="paragraph" w:styleId="Annotationtext">
    <w:name w:val="annotation text"/>
    <w:basedOn w:val="Normal"/>
    <w:link w:val="CommentTextChar"/>
    <w:uiPriority w:val="99"/>
    <w:unhideWhenUsed/>
    <w:qFormat/>
    <w:rsid w:val="005b797e"/>
    <w:pPr/>
    <w:rPr>
      <w:sz w:val="20"/>
      <w:szCs w:val="20"/>
      <w:lang w:val="sr-RS"/>
    </w:rPr>
  </w:style>
  <w:style w:type="paragraph" w:styleId="IndexHeading">
    <w:name w:val="Index Heading"/>
    <w:basedOn w:val="Heading"/>
    <w:pPr/>
    <w:rPr/>
  </w:style>
  <w:style w:type="paragraph" w:styleId="TOCHeading">
    <w:name w:val="TOC Heading"/>
    <w:basedOn w:val="Heading1"/>
    <w:next w:val="Normal"/>
    <w:uiPriority w:val="39"/>
    <w:unhideWhenUsed/>
    <w:qFormat/>
    <w:rsid w:val="00597447"/>
    <w:pPr/>
    <w:rPr>
      <w:kern w:val="0"/>
      <w14:ligatures w14:val="none"/>
    </w:rPr>
  </w:style>
  <w:style w:type="paragraph" w:styleId="ListParagraph">
    <w:name w:val="List Paragraph"/>
    <w:basedOn w:val="Normal"/>
    <w:link w:val="ListParagraphChar"/>
    <w:uiPriority w:val="34"/>
    <w:qFormat/>
    <w:rsid w:val="009c2227"/>
    <w:pPr>
      <w:spacing w:before="0" w:after="160"/>
      <w:ind w:start="720" w:hanging="0"/>
      <w:contextualSpacing/>
    </w:pPr>
    <w:rPr/>
  </w:style>
  <w:style w:type="paragraph" w:styleId="Footnote">
    <w:name w:val="Footnote Text"/>
    <w:basedOn w:val="Normal"/>
    <w:link w:val="FootnoteTextChar"/>
    <w:uiPriority w:val="99"/>
    <w:unhideWhenUsed/>
    <w:qFormat/>
    <w:rsid w:val="009c2227"/>
    <w:pPr>
      <w:spacing w:lineRule="auto" w:line="240" w:before="0" w:after="0"/>
    </w:pPr>
    <w:rPr>
      <w:sz w:val="20"/>
      <w:szCs w:val="20"/>
    </w:rPr>
  </w:style>
  <w:style w:type="paragraph" w:styleId="Contents1">
    <w:name w:val="TOC 1"/>
    <w:basedOn w:val="Normal"/>
    <w:next w:val="Normal"/>
    <w:autoRedefine/>
    <w:uiPriority w:val="39"/>
    <w:unhideWhenUsed/>
    <w:rsid w:val="00ac062f"/>
    <w:pPr>
      <w:spacing w:before="0" w:after="100"/>
    </w:pPr>
    <w:rPr/>
  </w:style>
  <w:style w:type="paragraph" w:styleId="Contents2">
    <w:name w:val="TOC 2"/>
    <w:basedOn w:val="Normal"/>
    <w:next w:val="Normal"/>
    <w:autoRedefine/>
    <w:uiPriority w:val="39"/>
    <w:unhideWhenUsed/>
    <w:rsid w:val="00ac062f"/>
    <w:pPr>
      <w:spacing w:before="0" w:after="100"/>
      <w:ind w:start="220" w:hanging="0"/>
    </w:pPr>
    <w:rPr/>
  </w:style>
  <w:style w:type="paragraph" w:styleId="Contents3">
    <w:name w:val="TOC 3"/>
    <w:basedOn w:val="Normal"/>
    <w:next w:val="Normal"/>
    <w:autoRedefine/>
    <w:uiPriority w:val="39"/>
    <w:unhideWhenUsed/>
    <w:rsid w:val="001256e6"/>
    <w:pPr>
      <w:tabs>
        <w:tab w:val="clear" w:pos="720"/>
        <w:tab w:val="left" w:pos="1134" w:leader="none"/>
        <w:tab w:val="right" w:pos="9350" w:leader="dot"/>
      </w:tabs>
      <w:spacing w:lineRule="auto" w:line="240" w:before="0" w:after="0"/>
      <w:ind w:start="440" w:hanging="0"/>
    </w:pPr>
    <w:rPr/>
  </w:style>
  <w:style w:type="paragraph" w:styleId="BalloonText">
    <w:name w:val="Balloon Text"/>
    <w:basedOn w:val="Normal"/>
    <w:link w:val="BalloonTextChar"/>
    <w:uiPriority w:val="99"/>
    <w:semiHidden/>
    <w:unhideWhenUsed/>
    <w:qFormat/>
    <w:rsid w:val="00b83d67"/>
    <w:pPr/>
    <w:rPr>
      <w:rFonts w:ascii="Tahoma" w:hAnsi="Tahoma" w:eastAsia="Times New Roman" w:cs="Tahoma"/>
      <w:sz w:val="16"/>
      <w:szCs w:val="16"/>
      <w:lang w:val="sr-RS"/>
    </w:rPr>
  </w:style>
  <w:style w:type="paragraph" w:styleId="Default" w:customStyle="1">
    <w:name w:val="Default"/>
    <w:qFormat/>
    <w:rsid w:val="00b83d67"/>
    <w:pPr>
      <w:widowControl/>
      <w:suppressAutoHyphens w:val="true"/>
      <w:bidi w:val="0"/>
      <w:spacing w:lineRule="auto" w:line="240" w:before="0" w:after="0"/>
      <w:jc w:val="start"/>
    </w:pPr>
    <w:rPr>
      <w:rFonts w:ascii="Times New Roman" w:hAnsi="Times New Roman" w:eastAsia="DejaVu Sans" w:cs="Times New Roman" w:eastAsiaTheme="minorEastAsia"/>
      <w:color w:val="000000"/>
      <w:kern w:val="0"/>
      <w:sz w:val="24"/>
      <w:szCs w:val="24"/>
      <w:lang w:val="en-US" w:eastAsia="en-US" w:bidi="ar-SA"/>
      <w14:ligatures w14:val="none"/>
    </w:rPr>
  </w:style>
  <w:style w:type="paragraph" w:styleId="Annotationsubject">
    <w:name w:val="annotation subject"/>
    <w:basedOn w:val="Annotationtext"/>
    <w:next w:val="Annotationtext"/>
    <w:link w:val="CommentSubjectChar"/>
    <w:uiPriority w:val="99"/>
    <w:semiHidden/>
    <w:unhideWhenUsed/>
    <w:qFormat/>
    <w:rsid w:val="00b83d67"/>
    <w:pPr/>
    <w:rPr>
      <w:b/>
      <w:bCs/>
    </w:rPr>
  </w:style>
  <w:style w:type="paragraph" w:styleId="HeaderandFooter" w:customStyle="1">
    <w:name w:val="Header and Footer"/>
    <w:basedOn w:val="Normal"/>
    <w:qFormat/>
    <w:rsid w:val="00476678"/>
    <w:pPr>
      <w:suppressAutoHyphens w:val="true"/>
    </w:pPr>
    <w:rPr>
      <w:rFonts w:ascii="Calibri" w:hAnsi="Calibri" w:eastAsia="Calibri"/>
    </w:rPr>
  </w:style>
  <w:style w:type="paragraph" w:styleId="Header">
    <w:name w:val="Header"/>
    <w:basedOn w:val="Normal"/>
    <w:link w:val="HeaderChar"/>
    <w:uiPriority w:val="99"/>
    <w:unhideWhenUsed/>
    <w:rsid w:val="00b83d67"/>
    <w:pPr>
      <w:tabs>
        <w:tab w:val="clear" w:pos="720"/>
        <w:tab w:val="center" w:pos="4680" w:leader="none"/>
        <w:tab w:val="right" w:pos="9360" w:leader="none"/>
      </w:tabs>
    </w:pPr>
    <w:rPr>
      <w:kern w:val="0"/>
      <w14:ligatures w14:val="none"/>
    </w:rPr>
  </w:style>
  <w:style w:type="paragraph" w:styleId="Footer">
    <w:name w:val="Footer"/>
    <w:basedOn w:val="Normal"/>
    <w:link w:val="FooterChar"/>
    <w:uiPriority w:val="99"/>
    <w:unhideWhenUsed/>
    <w:rsid w:val="00b83d67"/>
    <w:pPr>
      <w:tabs>
        <w:tab w:val="clear" w:pos="720"/>
        <w:tab w:val="center" w:pos="4680" w:leader="none"/>
        <w:tab w:val="right" w:pos="9360" w:leader="none"/>
      </w:tabs>
    </w:pPr>
    <w:rPr>
      <w:kern w:val="0"/>
      <w14:ligatures w14:val="none"/>
    </w:rPr>
  </w:style>
  <w:style w:type="paragraph" w:styleId="Caption1">
    <w:name w:val="caption1"/>
    <w:basedOn w:val="Normal"/>
    <w:next w:val="Normal"/>
    <w:unhideWhenUsed/>
    <w:qFormat/>
    <w:rsid w:val="00b83d67"/>
    <w:pPr>
      <w:spacing w:lineRule="auto" w:line="240" w:before="0" w:after="200"/>
    </w:pPr>
    <w:rPr>
      <w:rFonts w:eastAsia="DejaVu Sans" w:eastAsiaTheme="minorEastAsia"/>
      <w:i/>
      <w:iCs/>
      <w:color w:val="44546A" w:themeColor="text2"/>
      <w:kern w:val="0"/>
      <w:sz w:val="18"/>
      <w:szCs w:val="18"/>
      <w14:ligatures w14:val="none"/>
    </w:rPr>
  </w:style>
  <w:style w:type="paragraph" w:styleId="Title">
    <w:name w:val="Title"/>
    <w:basedOn w:val="Normal"/>
    <w:next w:val="Normal"/>
    <w:link w:val="TitleChar"/>
    <w:uiPriority w:val="10"/>
    <w:qFormat/>
    <w:rsid w:val="00b83d67"/>
    <w:pPr>
      <w:spacing w:lineRule="auto" w:line="240" w:before="0" w:after="0"/>
      <w:contextualSpacing/>
    </w:pPr>
    <w:rPr>
      <w:rFonts w:ascii="Arial" w:hAnsi="Arial" w:eastAsia="DejaVu Sans" w:cs="DejaVu Sans" w:asciiTheme="majorHAnsi" w:cstheme="majorBidi" w:eastAsiaTheme="majorEastAsia" w:hAnsiTheme="majorHAnsi"/>
      <w:color w:val="000000" w:themeColor="text1"/>
      <w:kern w:val="0"/>
      <w:sz w:val="56"/>
      <w:szCs w:val="56"/>
      <w14:ligatures w14:val="none"/>
    </w:rPr>
  </w:style>
  <w:style w:type="paragraph" w:styleId="Subtitle">
    <w:name w:val="Subtitle"/>
    <w:basedOn w:val="Normal"/>
    <w:next w:val="Normal"/>
    <w:link w:val="SubtitleChar"/>
    <w:uiPriority w:val="11"/>
    <w:qFormat/>
    <w:rsid w:val="00b83d67"/>
    <w:pPr/>
    <w:rPr>
      <w:rFonts w:eastAsia="DejaVu Sans" w:eastAsiaTheme="minorEastAsia"/>
      <w:color w:val="5A5A5A" w:themeColor="text1" w:themeTint="a5"/>
      <w:spacing w:val="10"/>
      <w:kern w:val="0"/>
      <w14:ligatures w14:val="none"/>
    </w:rPr>
  </w:style>
  <w:style w:type="paragraph" w:styleId="NoSpacing">
    <w:name w:val="No Spacing"/>
    <w:link w:val="NoSpacingChar"/>
    <w:uiPriority w:val="1"/>
    <w:qFormat/>
    <w:rsid w:val="00b83d67"/>
    <w:pPr>
      <w:widowControl/>
      <w:suppressAutoHyphens w:val="true"/>
      <w:bidi w:val="0"/>
      <w:spacing w:lineRule="auto" w:line="240" w:before="0" w:after="0"/>
      <w:jc w:val="start"/>
    </w:pPr>
    <w:rPr>
      <w:rFonts w:ascii="Calibri" w:hAnsi="Calibri" w:eastAsia="DejaVu Sans" w:cs="Arial" w:eastAsiaTheme="minorEastAsia"/>
      <w:color w:val="auto"/>
      <w:kern w:val="0"/>
      <w:sz w:val="22"/>
      <w:szCs w:val="22"/>
      <w:lang w:val="en-US" w:eastAsia="en-US" w:bidi="ar-SA"/>
      <w14:ligatures w14:val="none"/>
    </w:rPr>
  </w:style>
  <w:style w:type="paragraph" w:styleId="Quote">
    <w:name w:val="Quote"/>
    <w:basedOn w:val="Normal"/>
    <w:next w:val="Normal"/>
    <w:link w:val="QuoteChar"/>
    <w:uiPriority w:val="29"/>
    <w:qFormat/>
    <w:rsid w:val="00b83d67"/>
    <w:pPr>
      <w:spacing w:before="160" w:after="160"/>
      <w:ind w:start="720" w:end="720" w:hanging="0"/>
    </w:pPr>
    <w:rPr>
      <w:rFonts w:eastAsia="DejaVu Sans" w:eastAsiaTheme="minorEastAsia"/>
      <w:i/>
      <w:iCs/>
      <w:color w:val="000000" w:themeColor="text1"/>
      <w:kern w:val="0"/>
      <w14:ligatures w14:val="none"/>
    </w:rPr>
  </w:style>
  <w:style w:type="paragraph" w:styleId="IntenseQuote">
    <w:name w:val="Intense Quote"/>
    <w:basedOn w:val="Normal"/>
    <w:next w:val="Normal"/>
    <w:link w:val="IntenseQuoteChar"/>
    <w:uiPriority w:val="30"/>
    <w:qFormat/>
    <w:rsid w:val="00b83d67"/>
    <w:pPr>
      <w:pBdr>
        <w:top w:val="single" w:sz="24" w:space="1" w:color="F2F2F2"/>
        <w:bottom w:val="single" w:sz="24" w:space="1" w:color="F2F2F2"/>
      </w:pBdr>
      <w:shd w:val="clear" w:color="auto" w:fill="F2F2F2" w:themeFill="background1" w:themeFillShade="f2"/>
      <w:spacing w:before="240" w:after="240"/>
      <w:ind w:start="936" w:end="936" w:hanging="0"/>
      <w:jc w:val="center"/>
    </w:pPr>
    <w:rPr>
      <w:rFonts w:eastAsia="DejaVu Sans" w:eastAsiaTheme="minorEastAsia"/>
      <w:color w:val="000000" w:themeColor="text1"/>
      <w:kern w:val="0"/>
      <w14:ligatures w14:val="none"/>
    </w:rPr>
  </w:style>
  <w:style w:type="paragraph" w:styleId="Clan" w:customStyle="1">
    <w:name w:val="clan"/>
    <w:basedOn w:val="Normal"/>
    <w:qFormat/>
    <w:rsid w:val="00b83d67"/>
    <w:pPr>
      <w:spacing w:lineRule="auto" w:line="240" w:beforeAutospacing="1" w:afterAutospacing="1"/>
    </w:pPr>
    <w:rPr>
      <w:rFonts w:ascii="Times New Roman" w:hAnsi="Times New Roman" w:eastAsia="Times New Roman" w:cs="Times New Roman"/>
      <w:kern w:val="0"/>
      <w:sz w:val="24"/>
      <w:szCs w:val="24"/>
      <w14:ligatures w14:val="none"/>
    </w:rPr>
  </w:style>
  <w:style w:type="paragraph" w:styleId="Normal1" w:customStyle="1">
    <w:name w:val="Normal1"/>
    <w:basedOn w:val="Normal"/>
    <w:qFormat/>
    <w:rsid w:val="00b83d67"/>
    <w:pPr>
      <w:spacing w:lineRule="auto" w:line="240" w:beforeAutospacing="1" w:afterAutospacing="1"/>
    </w:pPr>
    <w:rPr>
      <w:rFonts w:ascii="Times New Roman" w:hAnsi="Times New Roman" w:eastAsia="Times New Roman" w:cs="Times New Roman"/>
      <w:kern w:val="0"/>
      <w:sz w:val="24"/>
      <w:szCs w:val="24"/>
      <w14:ligatures w14:val="none"/>
    </w:rPr>
  </w:style>
  <w:style w:type="paragraph" w:styleId="Wyq100naslovgrupeclanovakurziv" w:customStyle="1">
    <w:name w:val="wyq100---naslov-grupe-clanova-kurziv"/>
    <w:basedOn w:val="Normal"/>
    <w:qFormat/>
    <w:rsid w:val="00b83d67"/>
    <w:pPr>
      <w:spacing w:lineRule="auto" w:line="240" w:beforeAutospacing="1" w:afterAutospacing="1"/>
    </w:pPr>
    <w:rPr>
      <w:rFonts w:ascii="Times New Roman" w:hAnsi="Times New Roman" w:eastAsia="Times New Roman" w:cs="Times New Roman"/>
      <w:kern w:val="0"/>
      <w:sz w:val="24"/>
      <w:szCs w:val="24"/>
      <w14:ligatures w14:val="none"/>
    </w:rPr>
  </w:style>
  <w:style w:type="paragraph" w:styleId="Wyq120podnaslovclana" w:customStyle="1">
    <w:name w:val="wyq120---podnaslov-clana"/>
    <w:basedOn w:val="Normal"/>
    <w:qFormat/>
    <w:rsid w:val="00b83d67"/>
    <w:pPr>
      <w:spacing w:lineRule="auto" w:line="240" w:beforeAutospacing="1" w:afterAutospacing="1"/>
    </w:pPr>
    <w:rPr>
      <w:rFonts w:ascii="Times New Roman" w:hAnsi="Times New Roman" w:eastAsia="Times New Roman" w:cs="Times New Roman"/>
      <w:kern w:val="0"/>
      <w:sz w:val="24"/>
      <w:szCs w:val="24"/>
      <w14:ligatures w14:val="none"/>
    </w:rPr>
  </w:style>
  <w:style w:type="paragraph" w:styleId="Wyq110naslovclana" w:customStyle="1">
    <w:name w:val="wyq110---naslov-clana"/>
    <w:basedOn w:val="Normal"/>
    <w:qFormat/>
    <w:rsid w:val="00b83d67"/>
    <w:pPr>
      <w:spacing w:lineRule="auto" w:line="240" w:beforeAutospacing="1" w:afterAutospacing="1"/>
    </w:pPr>
    <w:rPr>
      <w:rFonts w:ascii="Times New Roman" w:hAnsi="Times New Roman" w:eastAsia="Times New Roman" w:cs="Times New Roman"/>
      <w:kern w:val="0"/>
      <w:sz w:val="24"/>
      <w:szCs w:val="24"/>
      <w14:ligatures w14:val="none"/>
    </w:rPr>
  </w:style>
  <w:style w:type="paragraph" w:styleId="NormalWeb">
    <w:name w:val="Normal (Web)"/>
    <w:basedOn w:val="Normal"/>
    <w:uiPriority w:val="99"/>
    <w:unhideWhenUsed/>
    <w:qFormat/>
    <w:rsid w:val="00b83d67"/>
    <w:pPr>
      <w:spacing w:lineRule="auto" w:line="240" w:beforeAutospacing="1" w:afterAutospacing="1"/>
    </w:pPr>
    <w:rPr>
      <w:rFonts w:ascii="Times New Roman" w:hAnsi="Times New Roman" w:eastAsia="Times New Roman" w:cs="Times New Roman"/>
      <w:kern w:val="0"/>
      <w:sz w:val="24"/>
      <w:szCs w:val="24"/>
      <w14:ligatures w14:val="none"/>
    </w:rPr>
  </w:style>
  <w:style w:type="paragraph" w:styleId="Revision">
    <w:name w:val="Revision"/>
    <w:uiPriority w:val="99"/>
    <w:semiHidden/>
    <w:qFormat/>
    <w:rsid w:val="00b83d67"/>
    <w:pPr>
      <w:widowControl/>
      <w:suppressAutoHyphens w:val="true"/>
      <w:bidi w:val="0"/>
      <w:spacing w:lineRule="auto" w:line="240" w:before="0" w:after="0"/>
      <w:jc w:val="start"/>
    </w:pPr>
    <w:rPr>
      <w:rFonts w:ascii="Calibri" w:hAnsi="Calibri" w:eastAsia="DejaVu Sans" w:cs="Arial" w:eastAsiaTheme="minorEastAsia"/>
      <w:color w:val="auto"/>
      <w:kern w:val="0"/>
      <w:sz w:val="22"/>
      <w:szCs w:val="22"/>
      <w:lang w:val="en-US" w:eastAsia="en-US" w:bidi="ar-SA"/>
      <w14:ligatures w14:val="none"/>
    </w:rPr>
  </w:style>
  <w:style w:type="paragraph" w:styleId="16PointChar1Char" w:customStyle="1">
    <w:name w:val="16 Point Char1 Char"/>
    <w:basedOn w:val="Normal"/>
    <w:uiPriority w:val="99"/>
    <w:qFormat/>
    <w:rsid w:val="00c27877"/>
    <w:pPr>
      <w:spacing w:lineRule="exact" w:line="240"/>
    </w:pPr>
    <w:rPr>
      <w:vertAlign w:val="superscript"/>
    </w:rPr>
  </w:style>
  <w:style w:type="paragraph" w:styleId="Body" w:customStyle="1">
    <w:name w:val="Body"/>
    <w:qFormat/>
    <w:rsid w:val="002732bd"/>
    <w:pPr>
      <w:widowControl/>
      <w:suppressAutoHyphens w:val="true"/>
      <w:bidi w:val="0"/>
      <w:spacing w:lineRule="auto" w:line="240" w:before="0" w:after="0"/>
      <w:jc w:val="start"/>
    </w:pPr>
    <w:rPr>
      <w:rFonts w:ascii="Times New Roman" w:hAnsi="Times New Roman" w:eastAsia="Arial Unicode MS" w:cs="Arial Unicode MS"/>
      <w:color w:val="000000"/>
      <w:kern w:val="0"/>
      <w:sz w:val="24"/>
      <w:szCs w:val="24"/>
      <w:u w:val="none" w:color="000000"/>
      <w:lang w:val="sr-Latn-RS" w:eastAsia="sr-Latn-RS" w:bidi="ar-SA"/>
      <w14:ligatures w14:val="none"/>
    </w:rPr>
  </w:style>
  <w:style w:type="paragraph" w:styleId="Footnotesref" w:customStyle="1">
    <w:name w:val="Footnotes ref"/>
    <w:basedOn w:val="Normal"/>
    <w:uiPriority w:val="99"/>
    <w:qFormat/>
    <w:rsid w:val="005b0caf"/>
    <w:pPr>
      <w:spacing w:lineRule="exact" w:line="240"/>
    </w:pPr>
    <w:rPr>
      <w:rFonts w:ascii="Calibri" w:hAnsi="Calibri" w:eastAsia="Calibri" w:cs="Times New Roman"/>
      <w:kern w:val="0"/>
      <w:sz w:val="20"/>
      <w:szCs w:val="20"/>
      <w:vertAlign w:val="superscript"/>
      <w14:ligatures w14:val="none"/>
    </w:rPr>
  </w:style>
  <w:style w:type="paragraph" w:styleId="HTMLTopofForm">
    <w:name w:val="HTML Top of Form"/>
    <w:basedOn w:val="Normal"/>
    <w:next w:val="Normal"/>
    <w:link w:val="Z-TopofFormChar"/>
    <w:uiPriority w:val="99"/>
    <w:semiHidden/>
    <w:unhideWhenUsed/>
    <w:qFormat/>
    <w:rsid w:val="005b0caf"/>
    <w:pPr>
      <w:pBdr>
        <w:bottom w:val="single" w:sz="6" w:space="1" w:color="000000"/>
      </w:pBdr>
      <w:spacing w:lineRule="auto" w:line="240" w:before="0" w:after="0"/>
      <w:jc w:val="center"/>
    </w:pPr>
    <w:rPr>
      <w:rFonts w:ascii="Arial" w:hAnsi="Arial" w:eastAsia="Times New Roman" w:cs="Arial"/>
      <w:vanish/>
      <w:kern w:val="0"/>
      <w:sz w:val="16"/>
      <w:szCs w:val="16"/>
      <w:lang w:val="sr-Latn-RS" w:eastAsia="sr-Latn-RS"/>
      <w14:ligatures w14:val="none"/>
    </w:rPr>
  </w:style>
  <w:style w:type="paragraph" w:styleId="HTMLBottomofForm">
    <w:name w:val="HTML Bottom of Form"/>
    <w:basedOn w:val="Normal"/>
    <w:next w:val="Normal"/>
    <w:link w:val="Z-BottomofFormChar"/>
    <w:uiPriority w:val="99"/>
    <w:semiHidden/>
    <w:unhideWhenUsed/>
    <w:qFormat/>
    <w:rsid w:val="005b0caf"/>
    <w:pPr>
      <w:pBdr>
        <w:top w:val="single" w:sz="6" w:space="1" w:color="000000"/>
      </w:pBdr>
      <w:spacing w:lineRule="auto" w:line="240" w:before="0" w:after="0"/>
      <w:jc w:val="center"/>
    </w:pPr>
    <w:rPr>
      <w:rFonts w:ascii="Arial" w:hAnsi="Arial" w:eastAsia="Times New Roman" w:cs="Arial"/>
      <w:vanish/>
      <w:kern w:val="0"/>
      <w:sz w:val="16"/>
      <w:szCs w:val="16"/>
      <w:lang w:val="sr-Latn-RS" w:eastAsia="sr-Latn-RS"/>
      <w14:ligatures w14:val="none"/>
    </w:rPr>
  </w:style>
  <w:style w:type="paragraph" w:styleId="Western" w:customStyle="1">
    <w:name w:val="western"/>
    <w:basedOn w:val="Normal"/>
    <w:qFormat/>
    <w:rsid w:val="005b0caf"/>
    <w:pPr>
      <w:spacing w:lineRule="auto" w:line="240" w:beforeAutospacing="1" w:after="0"/>
      <w:jc w:val="both"/>
    </w:pPr>
    <w:rPr>
      <w:rFonts w:ascii="Times New Roman" w:hAnsi="Times New Roman" w:eastAsia="Times New Roman" w:cs="Times New Roman"/>
      <w:kern w:val="0"/>
      <w:sz w:val="24"/>
      <w:szCs w:val="24"/>
      <w14:ligatures w14:val="none"/>
    </w:rPr>
  </w:style>
  <w:style w:type="paragraph" w:styleId="Pf0" w:customStyle="1">
    <w:name w:val="pf0"/>
    <w:basedOn w:val="Normal"/>
    <w:qFormat/>
    <w:rsid w:val="0010492d"/>
    <w:pPr>
      <w:spacing w:lineRule="auto" w:line="240" w:beforeAutospacing="1" w:afterAutospacing="1"/>
    </w:pPr>
    <w:rPr>
      <w:rFonts w:ascii="Times New Roman" w:hAnsi="Times New Roman" w:eastAsia="Times New Roman" w:cs="Times New Roman"/>
      <w:kern w:val="0"/>
      <w:sz w:val="24"/>
      <w:szCs w:val="24"/>
      <w14:ligatures w14:val="none"/>
    </w:rPr>
  </w:style>
  <w:style w:type="paragraph" w:styleId="Char2" w:customStyle="1">
    <w:name w:val="Char2"/>
    <w:basedOn w:val="Normal"/>
    <w:uiPriority w:val="99"/>
    <w:qFormat/>
    <w:rsid w:val="0010492d"/>
    <w:pPr>
      <w:spacing w:lineRule="exact" w:line="240"/>
    </w:pPr>
    <w:rPr>
      <w:rFonts w:ascii="Calibri" w:hAnsi="Calibri" w:eastAsia="Calibri" w:cs="Times New Roman"/>
      <w:kern w:val="0"/>
      <w:sz w:val="20"/>
      <w:szCs w:val="20"/>
      <w:vertAlign w:val="superscript"/>
      <w14:ligatures w14:val="none"/>
    </w:rPr>
  </w:style>
  <w:style w:type="paragraph" w:styleId="BVIfnrChar" w:customStyle="1">
    <w:name w:val="BVI fnr Char"/>
    <w:basedOn w:val="Normal"/>
    <w:uiPriority w:val="99"/>
    <w:qFormat/>
    <w:rsid w:val="00417de8"/>
    <w:pPr>
      <w:spacing w:lineRule="exact" w:line="240"/>
    </w:pPr>
    <w:rPr>
      <w:kern w:val="0"/>
      <w:vertAlign w:val="superscript"/>
      <w14:ligatures w14:val="none"/>
    </w:rPr>
  </w:style>
  <w:style w:type="paragraph" w:styleId="BodyD" w:customStyle="1">
    <w:name w:val="Body D"/>
    <w:uiPriority w:val="99"/>
    <w:qFormat/>
    <w:rsid w:val="00417de8"/>
    <w:pPr>
      <w:widowControl/>
      <w:suppressAutoHyphens w:val="true"/>
      <w:bidi w:val="0"/>
      <w:spacing w:lineRule="auto" w:line="240" w:before="0" w:after="0"/>
      <w:jc w:val="start"/>
    </w:pPr>
    <w:rPr>
      <w:rFonts w:ascii="Times New Roman" w:hAnsi="Times New Roman" w:eastAsia="Arial Unicode MS" w:cs="Arial Unicode MS"/>
      <w:color w:val="000000"/>
      <w:kern w:val="0"/>
      <w:sz w:val="24"/>
      <w:szCs w:val="24"/>
      <w:u w:val="none" w:color="000000"/>
      <w:lang w:val="en-US" w:eastAsia="en-US" w:bidi="ar-SA"/>
      <w14:ligatures w14:val="none"/>
    </w:rPr>
  </w:style>
  <w:style w:type="paragraph" w:styleId="BodyBAA" w:customStyle="1">
    <w:name w:val="Body B A A"/>
    <w:qFormat/>
    <w:rsid w:val="00417de8"/>
    <w:pPr>
      <w:widowControl/>
      <w:suppressAutoHyphens w:val="true"/>
      <w:bidi w:val="0"/>
      <w:spacing w:lineRule="auto" w:line="240" w:before="0" w:after="0"/>
      <w:jc w:val="start"/>
    </w:pPr>
    <w:rPr>
      <w:rFonts w:ascii="Times New Roman" w:hAnsi="Times New Roman" w:eastAsia="Arial Unicode MS" w:cs="Arial Unicode MS"/>
      <w:color w:val="000000"/>
      <w:kern w:val="0"/>
      <w:sz w:val="24"/>
      <w:szCs w:val="24"/>
      <w:u w:val="none" w:color="000000"/>
      <w:lang w:val="en-US" w:eastAsia="en-US" w:bidi="ar-SA"/>
      <w14:ligatures w14:val="none"/>
    </w:rPr>
  </w:style>
  <w:style w:type="paragraph" w:styleId="Centar" w:customStyle="1">
    <w:name w:val="centar"/>
    <w:basedOn w:val="Normal"/>
    <w:uiPriority w:val="99"/>
    <w:qFormat/>
    <w:rsid w:val="00417de8"/>
    <w:pPr>
      <w:spacing w:lineRule="auto" w:line="240" w:beforeAutospacing="1" w:afterAutospacing="1"/>
    </w:pPr>
    <w:rPr>
      <w:rFonts w:ascii="Times New Roman" w:hAnsi="Times New Roman" w:eastAsia="Times New Roman" w:cs="Times New Roman"/>
      <w:kern w:val="0"/>
      <w:sz w:val="24"/>
      <w:szCs w:val="24"/>
      <w14:ligatures w14:val="none"/>
    </w:rPr>
  </w:style>
  <w:style w:type="paragraph" w:styleId="Footnotedescription" w:customStyle="1">
    <w:name w:val="footnote description"/>
    <w:next w:val="Normal"/>
    <w:link w:val="FootnotedescriptionChar"/>
    <w:qFormat/>
    <w:rsid w:val="00c032fe"/>
    <w:pPr>
      <w:widowControl/>
      <w:suppressAutoHyphens w:val="true"/>
      <w:bidi w:val="0"/>
      <w:spacing w:lineRule="auto" w:line="259" w:before="0" w:after="0"/>
      <w:ind w:start="452" w:hanging="0"/>
      <w:jc w:val="start"/>
    </w:pPr>
    <w:rPr>
      <w:rFonts w:ascii="Tahoma" w:hAnsi="Tahoma" w:eastAsia="Tahoma" w:cs="Tahoma"/>
      <w:color w:val="000000"/>
      <w:kern w:val="0"/>
      <w:sz w:val="16"/>
      <w:szCs w:val="22"/>
      <w:lang w:val="sr-Latn-RS" w:eastAsia="sr-Latn-RS" w:bidi="ar-SA"/>
      <w14:ligatures w14:val="none"/>
    </w:rPr>
  </w:style>
  <w:style w:type="paragraph" w:styleId="Normal2" w:customStyle="1">
    <w:name w:val="Normal2"/>
    <w:basedOn w:val="Normal"/>
    <w:qFormat/>
    <w:rsid w:val="008c1544"/>
    <w:pPr>
      <w:spacing w:lineRule="auto" w:line="240" w:beforeAutospacing="1" w:afterAutospacing="1"/>
    </w:pPr>
    <w:rPr>
      <w:rFonts w:ascii="Times New Roman" w:hAnsi="Times New Roman" w:eastAsia="Times New Roman" w:cs="Times New Roman"/>
      <w:kern w:val="0"/>
      <w:sz w:val="24"/>
      <w:szCs w:val="24"/>
      <w:lang w:val="sr-Latn-RS" w:eastAsia="sr-Latn-RS"/>
      <w14:ligatures w14:val="none"/>
    </w:rPr>
  </w:style>
  <w:style w:type="paragraph" w:styleId="1tekst" w:customStyle="1">
    <w:name w:val="_1tekst"/>
    <w:basedOn w:val="Normal"/>
    <w:qFormat/>
    <w:rsid w:val="004d4868"/>
    <w:pPr>
      <w:spacing w:lineRule="auto" w:line="240" w:before="0" w:after="0"/>
      <w:ind w:start="375" w:end="375" w:firstLine="240"/>
      <w:jc w:val="both"/>
    </w:pPr>
    <w:rPr>
      <w:rFonts w:ascii="Arial" w:hAnsi="Arial" w:eastAsia="DejaVu Sans" w:cs="Arial" w:eastAsiaTheme="minorEastAsia"/>
      <w:kern w:val="0"/>
      <w:sz w:val="20"/>
      <w:szCs w:val="20"/>
      <w14:ligatures w14:val="none"/>
    </w:rPr>
  </w:style>
  <w:style w:type="paragraph" w:styleId="Standard" w:customStyle="1">
    <w:name w:val="Standard"/>
    <w:qFormat/>
    <w:rsid w:val="00e86013"/>
    <w:pPr>
      <w:widowControl/>
      <w:suppressAutoHyphens w:val="true"/>
      <w:bidi w:val="0"/>
      <w:spacing w:lineRule="auto" w:line="240" w:before="0" w:after="0"/>
      <w:jc w:val="start"/>
      <w:textAlignment w:val="baseline"/>
    </w:pPr>
    <w:rPr>
      <w:rFonts w:ascii="Liberation Serif" w:hAnsi="Liberation Serif" w:eastAsia="SimSun" w:cs="Mangal"/>
      <w:color w:val="auto"/>
      <w:kern w:val="2"/>
      <w:sz w:val="24"/>
      <w:szCs w:val="24"/>
      <w:lang w:val="en-US" w:eastAsia="zh-CN" w:bidi="hi-IN"/>
      <w14:ligatures w14:val="none"/>
    </w:rPr>
  </w:style>
  <w:style w:type="paragraph" w:styleId="BodyA" w:customStyle="1">
    <w:name w:val="Body A"/>
    <w:link w:val="BodyAChar"/>
    <w:qFormat/>
    <w:rsid w:val="005c01c7"/>
    <w:pPr>
      <w:widowControl/>
      <w:suppressAutoHyphens w:val="true"/>
      <w:bidi w:val="0"/>
      <w:spacing w:lineRule="auto" w:line="240" w:before="0" w:after="0"/>
      <w:ind w:firstLine="708"/>
      <w:jc w:val="both"/>
    </w:pPr>
    <w:rPr>
      <w:rFonts w:ascii="Times New Roman" w:hAnsi="Times New Roman" w:eastAsia="Arial Unicode MS" w:cs="Times New Roman"/>
      <w:color w:val="auto"/>
      <w:kern w:val="0"/>
      <w:sz w:val="22"/>
      <w:szCs w:val="22"/>
      <w:u w:val="none" w:color="000000"/>
      <w:lang w:val="sr-RS" w:eastAsia="en-US" w:bidi="ar-SA"/>
      <w14:ligatures w14:val="none"/>
    </w:rPr>
  </w:style>
  <w:style w:type="paragraph" w:styleId="TextBodyIndent">
    <w:name w:val="Body Text Indent"/>
    <w:basedOn w:val="Normal"/>
    <w:link w:val="BodyTextIndentChar"/>
    <w:rsid w:val="00bf2ced"/>
    <w:pPr>
      <w:spacing w:lineRule="auto" w:line="240" w:before="0" w:after="0"/>
      <w:ind w:start="420" w:hanging="0"/>
      <w:jc w:val="both"/>
    </w:pPr>
    <w:rPr>
      <w:rFonts w:ascii="Times New Roman" w:hAnsi="Times New Roman" w:eastAsia="Times New Roman" w:cs="Times New Roman"/>
      <w:kern w:val="0"/>
      <w:sz w:val="24"/>
      <w:szCs w:val="24"/>
      <w:lang w:val="sr-CS"/>
      <w14:ligatures w14:val="none"/>
    </w:rPr>
  </w:style>
  <w:style w:type="paragraph" w:styleId="List2">
    <w:name w:val="List Bullet 3"/>
    <w:basedOn w:val="Normal"/>
    <w:qFormat/>
    <w:rsid w:val="00bf2ced"/>
    <w:pPr>
      <w:spacing w:lineRule="auto" w:line="240" w:before="0" w:after="0"/>
      <w:ind w:start="566" w:hanging="283"/>
    </w:pPr>
    <w:rPr>
      <w:rFonts w:ascii="Times New Roman" w:hAnsi="Times New Roman" w:eastAsia="Times New Roman" w:cs="Times New Roman"/>
      <w:kern w:val="0"/>
      <w:sz w:val="24"/>
      <w:szCs w:val="24"/>
      <w14:ligatures w14:val="none"/>
    </w:rPr>
  </w:style>
  <w:style w:type="paragraph" w:styleId="Index1">
    <w:name w:val="index 1"/>
    <w:basedOn w:val="Normal"/>
    <w:next w:val="Normal"/>
    <w:autoRedefine/>
    <w:uiPriority w:val="99"/>
    <w:semiHidden/>
    <w:unhideWhenUsed/>
    <w:qFormat/>
    <w:rsid w:val="00476678"/>
    <w:pPr>
      <w:suppressAutoHyphens w:val="true"/>
      <w:spacing w:lineRule="auto" w:line="240" w:before="0" w:after="0"/>
      <w:ind w:start="220" w:hanging="220"/>
    </w:pPr>
    <w:rPr>
      <w:rFonts w:ascii="Calibri" w:hAnsi="Calibri" w:eastAsia="Calibri"/>
    </w:rPr>
  </w:style>
  <w:style w:type="paragraph" w:styleId="Indexheading1">
    <w:name w:val="index heading1"/>
    <w:basedOn w:val="Heading"/>
    <w:qFormat/>
    <w:rsid w:val="00476678"/>
    <w:pPr/>
    <w:rPr/>
  </w:style>
  <w:style w:type="paragraph" w:styleId="Caption11" w:customStyle="1">
    <w:name w:val="caption11"/>
    <w:basedOn w:val="Normal"/>
    <w:next w:val="Normal"/>
    <w:uiPriority w:val="35"/>
    <w:semiHidden/>
    <w:unhideWhenUsed/>
    <w:qFormat/>
    <w:rsid w:val="00476678"/>
    <w:pPr>
      <w:suppressAutoHyphens w:val="true"/>
      <w:spacing w:lineRule="auto" w:line="240" w:before="0" w:after="200"/>
    </w:pPr>
    <w:rPr>
      <w:rFonts w:ascii="Calibri" w:hAnsi="Calibri" w:eastAsia="DejaVu Sans" w:eastAsiaTheme="minorEastAsia"/>
      <w:i/>
      <w:iCs/>
      <w:color w:val="44546A" w:themeColor="text2"/>
      <w:kern w:val="0"/>
      <w:sz w:val="18"/>
      <w:szCs w:val="18"/>
      <w14:ligatures w14:val="none"/>
    </w:rPr>
  </w:style>
  <w:style w:type="paragraph" w:styleId="TableContents" w:customStyle="1">
    <w:name w:val="Table Contents"/>
    <w:basedOn w:val="Normal"/>
    <w:qFormat/>
    <w:rsid w:val="00476678"/>
    <w:pPr>
      <w:widowControl w:val="false"/>
      <w:suppressLineNumbers/>
      <w:suppressAutoHyphens w:val="true"/>
    </w:pPr>
    <w:rPr>
      <w:rFonts w:ascii="Calibri" w:hAnsi="Calibri" w:eastAsia="Calibri"/>
    </w:rPr>
  </w:style>
  <w:style w:type="paragraph" w:styleId="TableHeading" w:customStyle="1">
    <w:name w:val="Table Heading"/>
    <w:basedOn w:val="TableContents"/>
    <w:qFormat/>
    <w:rsid w:val="00476678"/>
    <w:pPr>
      <w:jc w:val="center"/>
    </w:pPr>
    <w:rPr>
      <w:b/>
      <w:bCs/>
    </w:rPr>
  </w:style>
  <w:style w:type="paragraph" w:styleId="FrameContents">
    <w:name w:val="Frame Contents"/>
    <w:basedOn w:val="Normal"/>
    <w:qFormat/>
    <w:pPr/>
    <w:rPr/>
  </w:style>
  <w:style w:type="paragraph" w:styleId="Contents9">
    <w:name w:val="TOC 9"/>
    <w:basedOn w:val="Style8"/>
    <w:pPr/>
    <w:rPr/>
  </w:style>
  <w:style w:type="paragraph" w:styleId="Contents8">
    <w:name w:val="TOC 8"/>
    <w:basedOn w:val="Style8"/>
    <w:pPr/>
    <w:rPr/>
  </w:style>
  <w:style w:type="paragraph" w:styleId="Contents7">
    <w:name w:val="TOC 7"/>
    <w:basedOn w:val="Style8"/>
    <w:pPr/>
    <w:rPr/>
  </w:style>
  <w:style w:type="paragraph" w:styleId="Contents6">
    <w:name w:val="TOC 6"/>
    <w:basedOn w:val="Style8"/>
    <w:pPr/>
    <w:rPr/>
  </w:style>
  <w:style w:type="paragraph" w:styleId="Contents5">
    <w:name w:val="TOC 5"/>
    <w:basedOn w:val="Style8"/>
    <w:pPr/>
    <w:rPr/>
  </w:style>
  <w:style w:type="paragraph" w:styleId="Contents4">
    <w:name w:val="TOC 4"/>
    <w:basedOn w:val="Style8"/>
    <w:pPr/>
    <w:rPr/>
  </w:style>
  <w:style w:type="paragraph" w:styleId="BodyTextIndent2">
    <w:name w:val="Body Text Indent 2"/>
    <w:basedOn w:val="Normal"/>
    <w:qFormat/>
    <w:pPr>
      <w:spacing w:lineRule="auto" w:line="480" w:before="120" w:after="120"/>
      <w:ind w:start="283" w:hanging="0"/>
    </w:pPr>
    <w:rPr/>
  </w:style>
  <w:style w:type="paragraph" w:styleId="Pasus1">
    <w:name w:val="Pasus 1"/>
    <w:basedOn w:val="Normal"/>
    <w:qFormat/>
    <w:pPr>
      <w:spacing w:before="80" w:after="80"/>
    </w:pPr>
    <w:rPr>
      <w:rFonts w:ascii="Candara" w:hAnsi="Candara" w:eastAsia="Calibri" w:cs="Arial"/>
      <w:szCs w:val="24"/>
      <w:lang w:val="uz-Cyrl-UZ"/>
    </w:rPr>
  </w:style>
  <w:style w:type="paragraph" w:styleId="BodyText3">
    <w:name w:val="Body Text 3"/>
    <w:basedOn w:val="Normal"/>
    <w:qFormat/>
    <w:pPr>
      <w:spacing w:before="0" w:after="120"/>
      <w:jc w:val="start"/>
    </w:pPr>
    <w:rPr>
      <w:rFonts w:ascii="Times New Roman" w:hAnsi="Times New Roman" w:cs="Times New Roman"/>
      <w:sz w:val="24"/>
      <w:szCs w:val="24"/>
      <w:lang w:val="en-US"/>
    </w:rPr>
  </w:style>
  <w:style w:type="paragraph" w:styleId="Style7">
    <w:name w:val="Заглавље и подножје"/>
    <w:basedOn w:val="Normal"/>
    <w:qFormat/>
    <w:pPr/>
    <w:rPr/>
  </w:style>
  <w:style w:type="paragraph" w:styleId="Style8">
    <w:name w:val="Попис"/>
    <w:basedOn w:val="Normal"/>
    <w:qFormat/>
    <w:pPr>
      <w:suppressLineNumbers/>
    </w:pPr>
    <w:rPr>
      <w:rFonts w:cs="Arial"/>
    </w:rPr>
  </w:style>
  <w:style w:type="paragraph" w:styleId="Style9">
    <w:name w:val="Насловљавање"/>
    <w:basedOn w:val="Normal"/>
    <w:next w:val="TextBody"/>
    <w:qFormat/>
    <w:pPr>
      <w:keepNext w:val="true"/>
      <w:spacing w:before="240" w:after="120"/>
    </w:pPr>
    <w:rPr>
      <w:rFonts w:ascii="Liberation Sans" w:hAnsi="Liberation Sans" w:eastAsia="Microsoft YaHei" w:cs="Arial"/>
      <w:sz w:val="28"/>
      <w:szCs w:val="28"/>
    </w:rPr>
  </w:style>
  <w:style w:type="paragraph" w:styleId="Bold">
    <w:name w:val="bold"/>
    <w:basedOn w:val="Normal"/>
    <w:qFormat/>
    <w:pPr>
      <w:spacing w:before="280" w:after="280"/>
      <w:jc w:val="start"/>
    </w:pPr>
    <w:rPr>
      <w:sz w:val="24"/>
      <w:szCs w:val="24"/>
      <w:lang w:val="en-GB" w:eastAsia="en-GB"/>
    </w:rPr>
  </w:style>
  <w:style w:type="paragraph" w:styleId="HTMLPreformatted">
    <w:name w:val="HTML Preformatted"/>
    <w:basedOn w:val="Normal"/>
    <w:qFormat/>
    <w:pPr>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jc w:val="start"/>
    </w:pPr>
    <w:rPr>
      <w:rFonts w:ascii="Courier New" w:hAnsi="Courier New" w:cs="Courier New"/>
      <w:lang w:val="en-GB" w:eastAsia="en-GB"/>
    </w:rPr>
  </w:style>
  <w:style w:type="numbering" w:styleId="NoList" w:default="1">
    <w:name w:val="No List"/>
    <w:uiPriority w:val="99"/>
    <w:semiHidden/>
    <w:unhideWhenUsed/>
    <w:qFormat/>
  </w:style>
  <w:style w:type="table" w:default="1" w:styleId="TableNormal">
    <w:name w:val="Normal Table"/>
    <w:uiPriority w:val="99"/>
    <w:semiHidden/>
    <w:unhideWhenUsed/>
    <w:tblPr>
      <w:tblCellMar>
        <w:top w:w="0" w:type="dxa"/>
        <w:left w:w="108" w:type="dxa"/>
        <w:bottom w:w="0" w:type="dxa"/>
        <w:right w:w="108" w:type="dxa"/>
      </w:tblCellMar>
    </w:tblPr>
  </w:style>
  <w:style w:type="table" w:styleId="TableGrid">
    <w:name w:val="Table Grid"/>
    <w:basedOn w:val="TableNormal"/>
    <w:uiPriority w:val="39"/>
    <w:rsid w:val="005b797e"/>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2">
    <w:name w:val="Grid Table 2"/>
    <w:basedOn w:val="TableNormal"/>
    <w:uiPriority w:val="47"/>
    <w:rsid w:val="00006b40"/>
    <w:pPr>
      <w:spacing w:after="0" w:line="240" w:lineRule="auto"/>
    </w:pPr>
    <w:rPr>
      <w:rFonts w:eastAsiaTheme="minorEastAsia"/>
    </w:rPr>
    <w:tblPr>
      <w:tblStyleRowBandSize w:val="1"/>
      <w:tblStyleColBandSize w:val="1"/>
      <w:tblBorders>
        <w:top w:val="single" w:color="666666" w:themeColor="text1" w:themeTint="99" w:sz="2" w:space="0"/>
        <w:bottom w:val="single" w:color="666666" w:themeColor="text1" w:themeTint="99" w:sz="2" w:space="0"/>
        <w:insideH w:val="single" w:color="666666" w:themeColor="text1" w:themeTint="99" w:sz="2" w:space="0"/>
        <w:insideV w:val="single" w:color="666666" w:themeColor="text1" w:themeTint="99" w:sz="2" w:space="0"/>
      </w:tblBorders>
    </w:tblPr>
    <w:tblStylePr w:type="firstRow">
      <w:rPr>
        <w:b/>
        <w:bCs/>
      </w:rPr>
      <w:tblPr/>
      <w:tcPr>
        <w:tcBorders>
          <w:top w:val="nil"/>
          <w:bottom w:val="single" w:color="666666" w:themeColor="text1" w:sz="12" w:space="0"/>
          <w:insideH w:val="nil"/>
          <w:insideV w:val="nil"/>
        </w:tcBorders>
        <w:shd w:val="clear" w:color="auto" w:fill="FFFFFF" w:themeFill="background1"/>
      </w:tcPr>
    </w:tblStylePr>
    <w:tblStylePr w:type="lastRow">
      <w:rPr>
        <w:b/>
        <w:bCs/>
      </w:rPr>
      <w:tblPr/>
      <w:tcPr>
        <w:tcBorders>
          <w:top w:val="double" w:color="666666" w:themeColor="text1" w:sz="2" w:space="0"/>
          <w:bottom w:val="nil"/>
          <w:insideH w:val="nil"/>
          <w:insideV w:val="nil"/>
        </w:tcBorders>
        <w:shd w:val="clear" w:color="auto" w:fill="FFFFFF" w:themeFill="background1"/>
      </w:tcPr>
    </w:tblStylePr>
    <w:tblStylePr w:type="firstCol">
      <w:rPr>
        <w:b/>
        <w:bCs/>
      </w:rPr>
      <w:tblPr/>
    </w:tblStylePr>
    <w:tblStylePr w:type="lastCol">
      <w:rPr>
        <w:b/>
        <w:bCs/>
      </w:rPr>
      <w:tbl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uiPriority w:val="39"/>
    <w:rsid w:val="002626a1"/>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GridTable6Colorful1">
    <w:name w:val="Grid Table 6 Colorful1"/>
    <w:basedOn w:val="TableNormal"/>
    <w:uiPriority w:val="51"/>
    <w:rsid w:val="002626a1"/>
    <w:pPr>
      <w:spacing w:after="0" w:line="240" w:lineRule="auto"/>
    </w:pPr>
    <w:tblPr>
      <w:tblStyleRowBandSize w:val="1"/>
      <w:tblStyleColBandSize w:val="1"/>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blPr/>
      <w:tcPr>
        <w:tcBorders>
          <w:bottom w:val="single" w:color="666666" w:sz="12" w:space="0"/>
        </w:tcBorders>
      </w:tcPr>
    </w:tblStylePr>
    <w:tblStylePr w:type="lastRow">
      <w:rPr>
        <w:b/>
        <w:bCs/>
      </w:rPr>
      <w:tblPr/>
      <w:tcPr>
        <w:tcBorders>
          <w:top w:val="double" w:color="666666" w:sz="4" w:space="0"/>
        </w:tcBorders>
      </w:tcPr>
    </w:tblStylePr>
    <w:tblStylePr w:type="firstCol">
      <w:rPr>
        <w:b/>
        <w:bCs/>
      </w:rPr>
      <w:tblPr/>
    </w:tblStylePr>
    <w:tblStylePr w:type="lastCol">
      <w:rPr>
        <w:b/>
        <w:bCs/>
      </w:rPr>
      <w:tblPr/>
    </w:tblStylePr>
    <w:tblStylePr w:type="band1Vert">
      <w:tblPr/>
      <w:tcPr>
        <w:shd w:val="clear" w:color="auto" w:fill="CCCCCC"/>
      </w:tcPr>
    </w:tblStylePr>
    <w:tblStylePr w:type="band1Horz">
      <w:tblPr/>
      <w:tcPr>
        <w:shd w:val="clear" w:color="auto" w:fill="CCCCCC"/>
      </w:tcPr>
    </w:tblStylePr>
  </w:style>
  <w:style w:type="table" w:styleId="GridTable6Colorful">
    <w:name w:val="Grid Table 6 Colorful"/>
    <w:basedOn w:val="TableNormal"/>
    <w:uiPriority w:val="51"/>
    <w:rsid w:val="002626a1"/>
    <w:pPr>
      <w:spacing w:after="0" w:line="240" w:lineRule="auto"/>
    </w:pPr>
    <w:rPr>
      <w:color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sz="12" w:space="0"/>
        </w:tcBorders>
      </w:tcPr>
    </w:tblStylePr>
    <w:tblStylePr w:type="lastRow">
      <w:rPr>
        <w:b/>
        <w:bCs/>
      </w:rPr>
      <w:tblPr/>
      <w:tcPr>
        <w:tcBorders>
          <w:top w:val="double" w:color="666666" w:themeColor="text1" w:sz="4" w:space="0"/>
        </w:tcBorders>
      </w:tcPr>
    </w:tblStylePr>
    <w:tblStylePr w:type="firstCol">
      <w:rPr>
        <w:b/>
        <w:bCs/>
      </w:rPr>
      <w:tblPr/>
    </w:tblStylePr>
    <w:tblStylePr w:type="lastCol">
      <w:rPr>
        <w:b/>
        <w:bCs/>
      </w:rPr>
      <w:tbl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1">
    <w:name w:val="Plain Table 1"/>
    <w:basedOn w:val="TableNormal"/>
    <w:uiPriority w:val="41"/>
    <w:rsid w:val="00b83d67"/>
    <w:pPr>
      <w:spacing w:after="0" w:line="240" w:lineRule="auto"/>
    </w:pPr>
    <w:rPr>
      <w:rFonts w:eastAsiaTheme="minorEastAsia"/>
    </w:rPr>
    <w:tblPr>
      <w:tblStyleRowBandSize w:val="1"/>
      <w:tblStyleColBandSize w:val="1"/>
      <w:tblBorders>
        <w:top w:val="single" w:color="BFBFBF" w:themeColor="background1" w:sz="4" w:space="0"/>
        <w:left w:val="single" w:color="BFBFBF" w:themeColor="background1" w:sz="4" w:space="0"/>
        <w:bottom w:val="single" w:color="BFBFBF" w:themeColor="background1" w:sz="4" w:space="0"/>
        <w:right w:val="single" w:color="BFBFBF" w:themeColor="background1" w:sz="4" w:space="0"/>
        <w:insideH w:val="single" w:color="BFBFBF" w:themeColor="background1" w:sz="4" w:space="0"/>
        <w:insideV w:val="single" w:color="BFBFBF" w:themeColor="background1" w:sz="4" w:space="0"/>
      </w:tblBorders>
    </w:tblPr>
    <w:tblStylePr w:type="firstRow">
      <w:rPr>
        <w:b/>
        <w:bCs/>
      </w:rPr>
      <w:tblPr/>
    </w:tblStylePr>
    <w:tblStylePr w:type="lastRow">
      <w:rPr>
        <w:b/>
        <w:bCs/>
      </w:rPr>
      <w:tblPr/>
      <w:tcPr>
        <w:tcBorders>
          <w:top w:val="double" w:color="BFBFBF" w:themeColor="background1" w:sz="4" w:space="0"/>
        </w:tcBorders>
      </w:tcPr>
    </w:tblStylePr>
    <w:tblStylePr w:type="firstCol">
      <w:rPr>
        <w:b/>
        <w:bCs/>
      </w:rPr>
      <w:tblPr/>
    </w:tblStylePr>
    <w:tblStylePr w:type="lastCol">
      <w:rPr>
        <w:b/>
        <w:bCs/>
      </w:rPr>
      <w:tbl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3-Accent2">
    <w:name w:val="Grid Table 3 Accent 2"/>
    <w:basedOn w:val="TableNormal"/>
    <w:uiPriority w:val="48"/>
    <w:rsid w:val="00b83d67"/>
    <w:pPr>
      <w:spacing w:after="0" w:line="240" w:lineRule="auto"/>
    </w:pPr>
    <w:rPr>
      <w:rFonts w:eastAsiaTheme="minorEastAsia"/>
    </w:r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color="F4B083" w:themeColor="accent2" w:sz="4" w:space="0"/>
        </w:tcBorders>
      </w:tcPr>
    </w:tblStylePr>
    <w:tblStylePr w:type="nwCell">
      <w:tblPr/>
      <w:tcPr>
        <w:tcBorders>
          <w:bottom w:val="single" w:color="F4B083" w:themeColor="accent2" w:sz="4" w:space="0"/>
        </w:tcBorders>
      </w:tcPr>
    </w:tblStylePr>
    <w:tblStylePr w:type="seCell">
      <w:tblPr/>
      <w:tcPr>
        <w:tcBorders>
          <w:top w:val="single" w:color="F4B083" w:themeColor="accent2" w:sz="4" w:space="0"/>
        </w:tcBorders>
      </w:tcPr>
    </w:tblStylePr>
    <w:tblStylePr w:type="swCell">
      <w:tblPr/>
      <w:tcPr>
        <w:tcBorders>
          <w:top w:val="single" w:color="F4B083" w:themeColor="accent2" w:sz="4" w:space="0"/>
        </w:tcBorders>
      </w:tcPr>
    </w:tblStylePr>
  </w:style>
  <w:style w:type="table" w:styleId="GridTable2-Accent1">
    <w:name w:val="Grid Table 2 Accent 1"/>
    <w:basedOn w:val="TableNormal"/>
    <w:uiPriority w:val="47"/>
    <w:rsid w:val="00b83d67"/>
    <w:pPr>
      <w:spacing w:after="0" w:line="240" w:lineRule="auto"/>
    </w:pPr>
    <w:rPr>
      <w:rFonts w:eastAsiaTheme="minorEastAsia"/>
    </w:rPr>
    <w:tblPr>
      <w:tblStyleRowBandSize w:val="1"/>
      <w:tblStyleColBandSize w:val="1"/>
      <w:tblBorders>
        <w:top w:val="single" w:color="8EAADB" w:themeColor="accent1" w:themeTint="99" w:sz="2" w:space="0"/>
        <w:bottom w:val="single" w:color="8EAADB" w:themeColor="accent1" w:themeTint="99" w:sz="2" w:space="0"/>
        <w:insideH w:val="single" w:color="8EAADB" w:themeColor="accent1" w:themeTint="99" w:sz="2" w:space="0"/>
        <w:insideV w:val="single" w:color="8EAADB" w:themeColor="accent1" w:themeTint="99" w:sz="2" w:space="0"/>
      </w:tblBorders>
    </w:tblPr>
    <w:tblStylePr w:type="firstRow">
      <w:rPr>
        <w:b/>
        <w:bCs/>
      </w:rPr>
      <w:tblPr/>
      <w:tcPr>
        <w:tcBorders>
          <w:top w:val="nil"/>
          <w:bottom w:val="single" w:color="8EAADB" w:themeColor="accent1" w:sz="12" w:space="0"/>
          <w:insideH w:val="nil"/>
          <w:insideV w:val="nil"/>
        </w:tcBorders>
        <w:shd w:val="clear" w:color="auto" w:fill="FFFFFF" w:themeFill="background1"/>
      </w:tcPr>
    </w:tblStylePr>
    <w:tblStylePr w:type="lastRow">
      <w:rPr>
        <w:b/>
        <w:bCs/>
      </w:rPr>
      <w:tblPr/>
      <w:tcPr>
        <w:tcBorders>
          <w:top w:val="double" w:color="8EAADB" w:themeColor="accent1" w:sz="2" w:space="0"/>
          <w:bottom w:val="nil"/>
          <w:insideH w:val="nil"/>
          <w:insideV w:val="nil"/>
        </w:tcBorders>
        <w:shd w:val="clear" w:color="auto" w:fill="FFFFFF" w:themeFill="background1"/>
      </w:tcPr>
    </w:tblStylePr>
    <w:tblStylePr w:type="firstCol">
      <w:rPr>
        <w:b/>
        <w:bCs/>
      </w:rPr>
      <w:tblPr/>
    </w:tblStylePr>
    <w:tblStylePr w:type="lastCol">
      <w:rPr>
        <w:b/>
        <w:bCs/>
      </w:rPr>
      <w:tbl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b83d67"/>
    <w:pPr>
      <w:spacing w:after="0" w:line="240" w:lineRule="auto"/>
    </w:pPr>
    <w:rPr>
      <w:rFonts w:eastAsiaTheme="minorEastAsia"/>
    </w:rPr>
    <w:tblPr>
      <w:tblStyleRowBandSize w:val="1"/>
      <w:tblStyleColBandSize w:val="1"/>
      <w:tblBorders>
        <w:top w:val="single" w:color="F4B083" w:themeColor="accent2" w:themeTint="99" w:sz="2" w:space="0"/>
        <w:bottom w:val="single" w:color="F4B083" w:themeColor="accent2" w:themeTint="99" w:sz="2" w:space="0"/>
        <w:insideH w:val="single" w:color="F4B083" w:themeColor="accent2" w:themeTint="99" w:sz="2" w:space="0"/>
        <w:insideV w:val="single" w:color="F4B083" w:themeColor="accent2" w:themeTint="99" w:sz="2" w:space="0"/>
      </w:tblBorders>
    </w:tblPr>
    <w:tblStylePr w:type="firstRow">
      <w:rPr>
        <w:b/>
        <w:bCs/>
      </w:rPr>
      <w:tblPr/>
      <w:tcPr>
        <w:tcBorders>
          <w:top w:val="nil"/>
          <w:bottom w:val="single" w:color="F4B083" w:themeColor="accent2" w:sz="12" w:space="0"/>
          <w:insideH w:val="nil"/>
          <w:insideV w:val="nil"/>
        </w:tcBorders>
        <w:shd w:val="clear" w:color="auto" w:fill="FFFFFF" w:themeFill="background1"/>
      </w:tcPr>
    </w:tblStylePr>
    <w:tblStylePr w:type="lastRow">
      <w:rPr>
        <w:b/>
        <w:bCs/>
      </w:rPr>
      <w:tblPr/>
      <w:tcPr>
        <w:tcBorders>
          <w:top w:val="double" w:color="F4B083" w:themeColor="accent2" w:sz="2" w:space="0"/>
          <w:bottom w:val="nil"/>
          <w:insideH w:val="nil"/>
          <w:insideV w:val="nil"/>
        </w:tcBorders>
        <w:shd w:val="clear" w:color="auto" w:fill="FFFFFF" w:themeFill="background1"/>
      </w:tcPr>
    </w:tblStylePr>
    <w:tblStylePr w:type="firstCol">
      <w:rPr>
        <w:b/>
        <w:bCs/>
      </w:rPr>
      <w:tblPr/>
    </w:tblStylePr>
    <w:tblStylePr w:type="lastCol">
      <w:rPr>
        <w:b/>
        <w:bCs/>
      </w:rPr>
      <w:tbl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3-Accent1">
    <w:name w:val="Grid Table 3 Accent 1"/>
    <w:basedOn w:val="TableNormal"/>
    <w:uiPriority w:val="48"/>
    <w:rsid w:val="00b83d67"/>
    <w:pPr>
      <w:spacing w:after="0" w:line="240" w:lineRule="auto"/>
    </w:pPr>
    <w:rPr>
      <w:rFonts w:eastAsiaTheme="minorEastAsia"/>
    </w:r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color="8EAADB" w:themeColor="accent1" w:sz="4" w:space="0"/>
        </w:tcBorders>
      </w:tcPr>
    </w:tblStylePr>
    <w:tblStylePr w:type="nwCell">
      <w:tblPr/>
      <w:tcPr>
        <w:tcBorders>
          <w:bottom w:val="single" w:color="8EAADB" w:themeColor="accent1" w:sz="4" w:space="0"/>
        </w:tcBorders>
      </w:tcPr>
    </w:tblStylePr>
    <w:tblStylePr w:type="seCell">
      <w:tblPr/>
      <w:tcPr>
        <w:tcBorders>
          <w:top w:val="single" w:color="8EAADB" w:themeColor="accent1" w:sz="4" w:space="0"/>
        </w:tcBorders>
      </w:tcPr>
    </w:tblStylePr>
    <w:tblStylePr w:type="swCell">
      <w:tblPr/>
      <w:tcPr>
        <w:tcBorders>
          <w:top w:val="single" w:color="8EAADB" w:themeColor="accent1" w:sz="4" w:space="0"/>
        </w:tcBorders>
      </w:tcPr>
    </w:tblStylePr>
  </w:style>
  <w:style w:type="table" w:styleId="GridTable1Light-Accent1">
    <w:name w:val="Grid Table 1 Light Accent 1"/>
    <w:basedOn w:val="TableNormal"/>
    <w:uiPriority w:val="46"/>
    <w:rsid w:val="00b83d67"/>
    <w:pPr>
      <w:spacing w:after="0" w:line="240" w:lineRule="auto"/>
    </w:pPr>
    <w:rPr>
      <w:rFonts w:eastAsiaTheme="minorEastAsia"/>
    </w:rPr>
    <w:tblPr>
      <w:tblStyleRowBandSize w:val="1"/>
      <w:tblStyleColBandSize w:val="1"/>
      <w:tblBorders>
        <w:top w:val="single" w:color="B4C6E7" w:themeColor="accent1" w:themeTint="66" w:sz="4" w:space="0"/>
        <w:left w:val="single" w:color="B4C6E7" w:themeColor="accent1" w:themeTint="66" w:sz="4" w:space="0"/>
        <w:bottom w:val="single" w:color="B4C6E7" w:themeColor="accent1" w:themeTint="66" w:sz="4" w:space="0"/>
        <w:right w:val="single" w:color="B4C6E7" w:themeColor="accent1" w:themeTint="66" w:sz="4" w:space="0"/>
        <w:insideH w:val="single" w:color="B4C6E7" w:themeColor="accent1" w:themeTint="66" w:sz="4" w:space="0"/>
        <w:insideV w:val="single" w:color="B4C6E7" w:themeColor="accent1" w:themeTint="66" w:sz="4" w:space="0"/>
      </w:tblBorders>
    </w:tblPr>
    <w:tblStylePr w:type="firstRow">
      <w:rPr>
        <w:b/>
        <w:bCs/>
      </w:rPr>
      <w:tblPr/>
      <w:tcPr>
        <w:tcBorders>
          <w:bottom w:val="single" w:color="8EAADB" w:themeColor="accent1" w:sz="12" w:space="0"/>
        </w:tcBorders>
      </w:tcPr>
    </w:tblStylePr>
    <w:tblStylePr w:type="lastRow">
      <w:rPr>
        <w:b/>
        <w:bCs/>
      </w:rPr>
      <w:tblPr/>
      <w:tcPr>
        <w:tcBorders>
          <w:top w:val="double" w:color="8EAADB" w:themeColor="accent1" w:sz="2" w:space="0"/>
        </w:tcBorders>
      </w:tcPr>
    </w:tblStylePr>
    <w:tblStylePr w:type="firstCol">
      <w:rPr>
        <w:b/>
        <w:bCs/>
      </w:rPr>
      <w:tblPr/>
    </w:tblStylePr>
    <w:tblStylePr w:type="lastCol">
      <w:rPr>
        <w:b/>
        <w:bCs/>
      </w:rPr>
      <w:tblPr/>
    </w:tblStylePr>
  </w:style>
  <w:style w:type="table" w:styleId="GridTable2-Accent6">
    <w:name w:val="Grid Table 2 Accent 6"/>
    <w:basedOn w:val="TableNormal"/>
    <w:uiPriority w:val="47"/>
    <w:rsid w:val="00b83d67"/>
    <w:pPr>
      <w:spacing w:after="0" w:line="240" w:lineRule="auto"/>
    </w:pPr>
    <w:rPr>
      <w:rFonts w:eastAsiaTheme="minorEastAsia"/>
    </w:rPr>
    <w:tblPr>
      <w:tblStyleRowBandSize w:val="1"/>
      <w:tblStyleColBandSize w:val="1"/>
      <w:tblBorders>
        <w:top w:val="single" w:color="A8D08D" w:themeColor="accent6" w:themeTint="99" w:sz="2" w:space="0"/>
        <w:bottom w:val="single" w:color="A8D08D" w:themeColor="accent6" w:themeTint="99" w:sz="2" w:space="0"/>
        <w:insideH w:val="single" w:color="A8D08D" w:themeColor="accent6" w:themeTint="99" w:sz="2" w:space="0"/>
        <w:insideV w:val="single" w:color="A8D08D" w:themeColor="accent6" w:themeTint="99" w:sz="2" w:space="0"/>
      </w:tblBorders>
    </w:tblPr>
    <w:tblStylePr w:type="firstRow">
      <w:rPr>
        <w:b/>
        <w:bCs/>
      </w:rPr>
      <w:tblPr/>
      <w:tcPr>
        <w:tcBorders>
          <w:top w:val="nil"/>
          <w:bottom w:val="single" w:color="A8D08D" w:themeColor="accent6" w:sz="12" w:space="0"/>
          <w:insideH w:val="nil"/>
          <w:insideV w:val="nil"/>
        </w:tcBorders>
        <w:shd w:val="clear" w:color="auto" w:fill="FFFFFF" w:themeFill="background1"/>
      </w:tcPr>
    </w:tblStylePr>
    <w:tblStylePr w:type="lastRow">
      <w:rPr>
        <w:b/>
        <w:bCs/>
      </w:rPr>
      <w:tblPr/>
      <w:tcPr>
        <w:tcBorders>
          <w:top w:val="double" w:color="A8D08D" w:themeColor="accent6" w:sz="2" w:space="0"/>
          <w:bottom w:val="nil"/>
          <w:insideH w:val="nil"/>
          <w:insideV w:val="nil"/>
        </w:tcBorders>
        <w:shd w:val="clear" w:color="auto" w:fill="FFFFFF" w:themeFill="background1"/>
      </w:tcPr>
    </w:tblStylePr>
    <w:tblStylePr w:type="firstCol">
      <w:rPr>
        <w:b/>
        <w:bCs/>
      </w:rPr>
      <w:tblPr/>
    </w:tblStylePr>
    <w:tblStylePr w:type="lastCol">
      <w:rPr>
        <w:b/>
        <w:bCs/>
      </w:rPr>
      <w:tbl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b83d67"/>
    <w:pPr>
      <w:spacing w:after="0" w:line="240" w:lineRule="auto"/>
    </w:pPr>
    <w:rPr>
      <w:rFonts w:eastAsiaTheme="minorEastAsia"/>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color="666666" w:themeColor="text1" w:sz="4" w:space="0"/>
        </w:tcBorders>
      </w:tcPr>
    </w:tblStylePr>
    <w:tblStylePr w:type="nwCell">
      <w:tblPr/>
      <w:tcPr>
        <w:tcBorders>
          <w:bottom w:val="single" w:color="666666" w:themeColor="text1" w:sz="4" w:space="0"/>
        </w:tcBorders>
      </w:tcPr>
    </w:tblStylePr>
    <w:tblStylePr w:type="seCell">
      <w:tblPr/>
      <w:tcPr>
        <w:tcBorders>
          <w:top w:val="single" w:color="666666" w:themeColor="text1" w:sz="4" w:space="0"/>
        </w:tcBorders>
      </w:tcPr>
    </w:tblStylePr>
    <w:tblStylePr w:type="swCell">
      <w:tblPr/>
      <w:tcPr>
        <w:tcBorders>
          <w:top w:val="single" w:color="666666" w:themeColor="text1" w:sz="4" w:space="0"/>
        </w:tcBorders>
      </w:tcPr>
    </w:tblStylePr>
  </w:style>
  <w:style w:type="table" w:styleId="GridTable1Light">
    <w:name w:val="Grid Table 1 Light"/>
    <w:basedOn w:val="TableNormal"/>
    <w:uiPriority w:val="46"/>
    <w:rsid w:val="00b83d67"/>
    <w:pPr>
      <w:spacing w:after="0" w:line="240" w:lineRule="auto"/>
    </w:pPr>
    <w:rPr>
      <w:rFonts w:eastAsiaTheme="minorEastAsia"/>
    </w:r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sz="12" w:space="0"/>
        </w:tcBorders>
      </w:tcPr>
    </w:tblStylePr>
    <w:tblStylePr w:type="lastRow">
      <w:rPr>
        <w:b/>
        <w:bCs/>
      </w:rPr>
      <w:tblPr/>
      <w:tcPr>
        <w:tcBorders>
          <w:top w:val="double" w:color="666666" w:themeColor="text1" w:sz="2" w:space="0"/>
        </w:tcBorders>
      </w:tcPr>
    </w:tblStylePr>
    <w:tblStylePr w:type="firstCol">
      <w:rPr>
        <w:b/>
        <w:bCs/>
      </w:rPr>
      <w:tblPr/>
    </w:tblStylePr>
    <w:tblStylePr w:type="lastCol">
      <w:rPr>
        <w:b/>
        <w:bCs/>
      </w:rPr>
      <w:tblPr/>
    </w:tblStylePr>
  </w:style>
  <w:style w:type="table" w:customStyle="1" w:styleId="TableGrid2">
    <w:name w:val="Table Grid2"/>
    <w:basedOn w:val="TableNormal"/>
    <w:uiPriority w:val="39"/>
    <w:rsid w:val="00d8595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TableGrid3">
    <w:name w:val="Table Grid3"/>
    <w:basedOn w:val="TableNormal"/>
    <w:uiPriority w:val="39"/>
    <w:rsid w:val="00c23da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TableGrid4">
    <w:name w:val="Table Grid4"/>
    <w:basedOn w:val="TableNormal"/>
    <w:uiPriority w:val="39"/>
    <w:rsid w:val="00813ad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TableGrid5">
    <w:name w:val="Table Grid5"/>
    <w:basedOn w:val="TableNormal"/>
    <w:uiPriority w:val="39"/>
    <w:rsid w:val="004e5db1"/>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TableGrid6">
    <w:name w:val="Table Grid6"/>
    <w:basedOn w:val="TableNormal"/>
    <w:uiPriority w:val="39"/>
    <w:rsid w:val="00450d1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TableGrid7">
    <w:name w:val="Table Grid7"/>
    <w:basedOn w:val="TableNormal"/>
    <w:uiPriority w:val="39"/>
    <w:rsid w:val="00d233a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TableGrid0">
    <w:name w:val="TableGrid"/>
    <w:rsid w:val="003f6c34"/>
    <w:pPr>
      <w:spacing w:after="0" w:line="240" w:lineRule="auto"/>
    </w:pPr>
    <w:rPr>
      <w:rFonts w:eastAsiaTheme="minorEastAsia"/>
      <w:lang w:val="sr-Latn-RS" w:eastAsia="sr-Latn-RS"/>
    </w:rPr>
    <w:tblPr>
      <w:tblCellMar>
        <w:top w:w="0" w:type="dxa"/>
        <w:left w:w="0" w:type="dxa"/>
        <w:bottom w:w="0" w:type="dxa"/>
        <w:right w:w="0" w:type="dxa"/>
      </w:tblCellMar>
    </w:tblPr>
  </w:style>
  <w:style w:type="table" w:customStyle="1" w:styleId="TableGrid8">
    <w:name w:val="Table Grid8"/>
    <w:basedOn w:val="TableNormal"/>
    <w:uiPriority w:val="39"/>
    <w:rsid w:val="00d6767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GridTable21">
    <w:name w:val="Grid Table 21"/>
    <w:basedOn w:val="TableNormal"/>
    <w:uiPriority w:val="47"/>
    <w:rsid w:val="00d67673"/>
    <w:pPr>
      <w:spacing w:after="0" w:line="240" w:lineRule="auto"/>
    </w:pPr>
    <w:tblPr>
      <w:tblStyleRowBandSize w:val="1"/>
      <w:tblStyleColBandSize w:val="1"/>
      <w:tblBorders>
        <w:top w:val="single" w:color="666666" w:sz="2" w:space="0"/>
        <w:bottom w:val="single" w:color="666666" w:sz="2" w:space="0"/>
        <w:insideH w:val="single" w:color="666666" w:sz="2" w:space="0"/>
        <w:insideV w:val="single" w:color="666666" w:sz="2" w:space="0"/>
      </w:tblBorders>
    </w:tblPr>
    <w:tblStylePr w:type="firstRow">
      <w:rPr>
        <w:b/>
        <w:bCs/>
      </w:rPr>
      <w:tblPr/>
      <w:tcPr>
        <w:tcBorders>
          <w:top w:val="nil"/>
          <w:bottom w:val="single" w:color="666666" w:sz="12" w:space="0"/>
          <w:insideH w:val="nil"/>
          <w:insideV w:val="nil"/>
        </w:tcBorders>
        <w:shd w:val="clear" w:color="auto" w:fill="FFFFFF"/>
      </w:tcPr>
    </w:tblStylePr>
    <w:tblStylePr w:type="lastRow">
      <w:rPr>
        <w:b/>
        <w:bCs/>
      </w:rPr>
      <w:tblPr/>
      <w:tcPr>
        <w:tcBorders>
          <w:top w:val="double" w:color="666666" w:sz="2" w:space="0"/>
          <w:bottom w:val="nil"/>
          <w:insideH w:val="nil"/>
          <w:insideV w:val="nil"/>
        </w:tcBorders>
        <w:shd w:val="clear" w:color="auto" w:fill="FFFFFF"/>
      </w:tcPr>
    </w:tblStylePr>
    <w:tblStylePr w:type="firstCol">
      <w:rPr>
        <w:b/>
        <w:bCs/>
      </w:rPr>
      <w:tblPr/>
    </w:tblStylePr>
    <w:tblStylePr w:type="lastCol">
      <w:rPr>
        <w:b/>
        <w:bCs/>
      </w:rPr>
      <w:tblPr/>
    </w:tblStylePr>
    <w:tblStylePr w:type="band1Vert">
      <w:tblPr/>
      <w:tcPr>
        <w:shd w:val="clear" w:color="auto" w:fill="CCCCCC"/>
      </w:tcPr>
    </w:tblStylePr>
    <w:tblStylePr w:type="band1Horz">
      <w:tblPr/>
      <w:tcPr>
        <w:shd w:val="clear" w:color="auto" w:fill="CCCCCC"/>
      </w:tcPr>
    </w:tblStylePr>
  </w:style>
  <w:style w:type="table" w:customStyle="1" w:styleId="TableGrid41">
    <w:name w:val="Table Grid41"/>
    <w:basedOn w:val="TableNormal"/>
    <w:uiPriority w:val="39"/>
    <w:rsid w:val="00d6767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TableGrid51">
    <w:name w:val="Table Grid51"/>
    <w:basedOn w:val="TableNormal"/>
    <w:uiPriority w:val="39"/>
    <w:rsid w:val="00d6767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wmf"/><Relationship Id="rId3" Type="http://schemas.openxmlformats.org/officeDocument/2006/relationships/image" Target="media/image2.jpeg"/><Relationship Id="rId4" Type="http://schemas.openxmlformats.org/officeDocument/2006/relationships/hyperlink" Target="http://www.skgo.org/projekti/detaljno/69/SPaRI" TargetMode="External"/><Relationship Id="rId5" Type="http://schemas.openxmlformats.org/officeDocument/2006/relationships/image" Target="media/image3.png"/><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6.png"/><Relationship Id="rId9" Type="http://schemas.openxmlformats.org/officeDocument/2006/relationships/chart" Target="charts/chart1.xml"/><Relationship Id="rId10" Type="http://schemas.openxmlformats.org/officeDocument/2006/relationships/chart" Target="charts/chart2.xml"/><Relationship Id="rId11" Type="http://schemas.openxmlformats.org/officeDocument/2006/relationships/hyperlink" Target="http://www.skgo.org/projekti/detaljno/69/SPaRI" TargetMode="External"/><Relationship Id="rId12" Type="http://schemas.openxmlformats.org/officeDocument/2006/relationships/chart" Target="charts/chart3.xml"/><Relationship Id="rId13" Type="http://schemas.openxmlformats.org/officeDocument/2006/relationships/chart" Target="charts/chart4.xml"/><Relationship Id="rId14" Type="http://schemas.openxmlformats.org/officeDocument/2006/relationships/header" Target="header1.xml"/><Relationship Id="rId15" Type="http://schemas.openxmlformats.org/officeDocument/2006/relationships/header" Target="header2.xml"/><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header" Target="header3.xml"/><Relationship Id="rId19" Type="http://schemas.openxmlformats.org/officeDocument/2006/relationships/footer" Target="footer3.xml"/><Relationship Id="rId20" Type="http://schemas.openxmlformats.org/officeDocument/2006/relationships/hyperlink" Target="https://pu-ljstankovic.co.rs/" TargetMode="External"/><Relationship Id="rId21" Type="http://schemas.openxmlformats.org/officeDocument/2006/relationships/hyperlink" Target="https://www.facebook.com/kcbeocin/?locale=sr_RS" TargetMode="External"/><Relationship Id="rId22" Type="http://schemas.openxmlformats.org/officeDocument/2006/relationships/hyperlink" Target="https://www.facebook.com/p/&#1057;&#1087;&#1086;&#1088;&#1090;&#1089;&#1082;&#1080;-&#1094;&#1077;&#1085;&#1090;&#1072;&#1088;-&#1086;&#1087;&#1096;&#1090;&#1080;&#1085;&#1077;-&#1041;&#1077;&#1086;&#1095;&#1080;&#1085;-100067577652953/?paipv=0&amp;eav=AfboKCLUloVeawV5qulqbOb41saYU7vFhUSGaz3SVjglF_E4ytU4llhhsctheDzc5Rw&amp;_rdr" TargetMode="External"/><Relationship Id="rId23" Type="http://schemas.openxmlformats.org/officeDocument/2006/relationships/hyperlink" Target="https://turizambeocin.com/" TargetMode="External"/><Relationship Id="rId24" Type="http://schemas.openxmlformats.org/officeDocument/2006/relationships/hyperlink" Target="https://www.jkpbeocin.co.rs/" TargetMode="External"/><Relationship Id="rId25" Type="http://schemas.openxmlformats.org/officeDocument/2006/relationships/hyperlink" Target="https://jptoplanabeocin.rs/" TargetMode="External"/><Relationship Id="rId26" Type="http://schemas.openxmlformats.org/officeDocument/2006/relationships/hyperlink" Target="https://jgmilenko.nasaskola.rs/" TargetMode="External"/><Relationship Id="rId27" Type="http://schemas.openxmlformats.org/officeDocument/2006/relationships/hyperlink" Target="https://osjovanpopovicsusek.weebly.com/" TargetMode="External"/><Relationship Id="rId28" Type="http://schemas.openxmlformats.org/officeDocument/2006/relationships/hyperlink" Target="https://www.csrns.org.rs/odeljenje-centra-u-beocinu/?script=lat" TargetMode="External"/><Relationship Id="rId29" Type="http://schemas.openxmlformats.org/officeDocument/2006/relationships/hyperlink" Target="https://ckbeocin.wordpress.com/kontakt/" TargetMode="External"/><Relationship Id="rId30" Type="http://schemas.openxmlformats.org/officeDocument/2006/relationships/hyperlink" Target="https://dzbeocin.com/" TargetMode="External"/><Relationship Id="rId31" Type="http://schemas.openxmlformats.org/officeDocument/2006/relationships/header" Target="header4.xml"/><Relationship Id="rId32" Type="http://schemas.openxmlformats.org/officeDocument/2006/relationships/footer" Target="footer4.xml"/><Relationship Id="rId33" Type="http://schemas.openxmlformats.org/officeDocument/2006/relationships/footnotes" Target="footnotes.xml"/><Relationship Id="rId34" Type="http://schemas.openxmlformats.org/officeDocument/2006/relationships/numbering" Target="numbering.xml"/><Relationship Id="rId35" Type="http://schemas.openxmlformats.org/officeDocument/2006/relationships/fontTable" Target="fontTable.xml"/><Relationship Id="rId36" Type="http://schemas.openxmlformats.org/officeDocument/2006/relationships/settings" Target="settings.xml"/><Relationship Id="rId37" Type="http://schemas.openxmlformats.org/officeDocument/2006/relationships/theme" Target="theme/theme1.xml"/><Relationship Id="rId38" Type="http://schemas.openxmlformats.org/officeDocument/2006/relationships/customXml" Target="../customXml/item1.xml"/><Relationship Id="rId39" Type="http://schemas.openxmlformats.org/officeDocument/2006/relationships/customXml" Target="../customXml/item2.xml"/><Relationship Id="rId40" Type="http://schemas.openxmlformats.org/officeDocument/2006/relationships/customXml" Target="../customXml/item3.xml"/><Relationship Id="rId41" Type="http://schemas.openxmlformats.org/officeDocument/2006/relationships/customXml" Target="../customXml/item4.xml"/>
</Relationships>
</file>

<file path=word/_rels/footnotes.xml.rels><?xml version="1.0" encoding="UTF-8"?>
<Relationships xmlns="http://schemas.openxmlformats.org/package/2006/relationships"><Relationship Id="rId1" Type="http://schemas.openxmlformats.org/officeDocument/2006/relationships/hyperlink" Target="https://socijalnoukljucivanje.gov.rs/category/documents?search-type=documents&amp;s=national+report" TargetMode="External"/><Relationship Id="rId2" Type="http://schemas.openxmlformats.org/officeDocument/2006/relationships/hyperlink" Target="https://socijalnoukljucivanje.gov.rs/category/documents?search-type=documents&amp;s=national+report" TargetMode="External"/><Relationship Id="rId3" Type="http://schemas.openxmlformats.org/officeDocument/2006/relationships/hyperlink" Target="https://socijalnoukljucivanje.gov.rs/category/documents?search-type=documents&amp;s=national+report" TargetMode="External"/><Relationship Id="rId4" Type="http://schemas.openxmlformats.org/officeDocument/2006/relationships/hyperlink" Target="https://socijalnoukljucivanje.gov.rs/category/documents?search-type=documents&amp;s=national+report" TargetMode="External"/><Relationship Id="rId5" Type="http://schemas.openxmlformats.org/officeDocument/2006/relationships/hyperlink" Target="https://www.mfin.gov.rs/upload/media/n3g7Ti_63e625c76e357.pdf" TargetMode="External"/><Relationship Id="rId6" Type="http://schemas.openxmlformats.org/officeDocument/2006/relationships/hyperlink" Target="https://www.mfin.gov.rs/upload/media/n3g7Ti_63e625c76e357.pdf" TargetMode="External"/><Relationship Id="rId7" Type="http://schemas.openxmlformats.org/officeDocument/2006/relationships/hyperlink" Target="https://www.minrzs.gov.rs/sites/default/files/2020-06/AP19 ENG FINAL - 2020.docx" TargetMode="External"/><Relationship Id="rId8" Type="http://schemas.openxmlformats.org/officeDocument/2006/relationships/hyperlink" Target="https://www.minrzs.gov.rs/sites/default/files/2020-06/AP19 ENG FINAL - 2020.docx" TargetMode="External"/><Relationship Id="rId9" Type="http://schemas.openxmlformats.org/officeDocument/2006/relationships/hyperlink" Target="https://www.minrzs.gov.rs/sites/default/files/2020-06/AP19 ENG FINAL - 2020.docx" TargetMode="External"/><Relationship Id="rId10" Type="http://schemas.openxmlformats.org/officeDocument/2006/relationships/hyperlink" Target="https://www.minrzs.gov.rs/sites/default/files/2020-06/AP19 ENG FINAL - 2020.docx" TargetMode="External"/><Relationship Id="rId11" Type="http://schemas.openxmlformats.org/officeDocument/2006/relationships/hyperlink" Target="https://www.minrzs.gov.rs/sites/default/files/2020-06/AP19 ENG FINAL - 2020.docx" TargetMode="External"/><Relationship Id="rId12" Type="http://schemas.openxmlformats.org/officeDocument/2006/relationships/hyperlink" Target="https://mpravde.gov.rs/files/Revised AP23.docx" TargetMode="External"/><Relationship Id="rId13" Type="http://schemas.openxmlformats.org/officeDocument/2006/relationships/hyperlink" Target="https://mpravde.gov.rs/files/Revised AP23.docx" TargetMode="External"/><Relationship Id="rId14" Type="http://schemas.openxmlformats.org/officeDocument/2006/relationships/hyperlink" Target="https://www.srbija.gov.rs/extfile/sr/686961/akcioni_plan_za_sprovodjenje_programa_vlade_2023-2026_cyr8.pdf" TargetMode="External"/><Relationship Id="rId15" Type="http://schemas.openxmlformats.org/officeDocument/2006/relationships/hyperlink" Target="https://www.srbija.gov.rs/extfile/sr/686961/akcioni_plan_za_sprovodjenje_programa_vlade_2023-2026_cyr8.pdf" TargetMode="External"/><Relationship Id="rId16" Type="http://schemas.openxmlformats.org/officeDocument/2006/relationships/hyperlink" Target="https://www.srbija.gov.rs/extfile/sr/686961/akcioni_plan_za_sprovodjenje_programa_vlade_2023-2026_cyr8.pdf" TargetMode="External"/><Relationship Id="rId17" Type="http://schemas.openxmlformats.org/officeDocument/2006/relationships/hyperlink" Target="https://www.srbija.gov.rs/extfile/sr/686961/akcioni_plan_za_sprovodjenje_programa_vlade_2023-2026_cyr8.pdf" TargetMode="External"/><Relationship Id="rId18" Type="http://schemas.openxmlformats.org/officeDocument/2006/relationships/hyperlink" Target="https://www.minrzs.gov.rs/sr/dokumenti/ostalo/sektor-za-socijalnu-zastitu/ex-post-analiza-strategije-razvoja-socijalne-zastite" TargetMode="External"/><Relationship Id="rId19" Type="http://schemas.openxmlformats.org/officeDocument/2006/relationships/hyperlink" Target="https://www.minrzs.gov.rs/sr/dokumenti/ostalo/sektor-za-socijalnu-zastitu/ex-post-analiza-strategije-razvoja-socijalne-zastite" TargetMode="External"/><Relationship Id="rId20" Type="http://schemas.openxmlformats.org/officeDocument/2006/relationships/hyperlink" Target="https://www.minrzs.gov.rs/sr/dokumenti/ostalo/sektor-za-socijalnu-zastitu/ex-post-analiza-strategije-razvoja-socijalne-zastite" TargetMode="External"/><Relationship Id="rId21" Type="http://schemas.openxmlformats.org/officeDocument/2006/relationships/hyperlink" Target="https://www.minrzs.gov.rs/sr/dokumenti/ostalo/sektor-za-socijalnu-zastitu/ex-post-analiza-strategije-razvoja-socijalne-zastite" TargetMode="External"/><Relationship Id="rId22" Type="http://schemas.openxmlformats.org/officeDocument/2006/relationships/hyperlink" Target="https://www.minrzs.gov.rs/sr/dokumenti/ostalo/sektor-za-socijalnu-zastitu/ex-post-analiza-strategije-razvoja-socijalne-zastite" TargetMode="External"/><Relationship Id="rId23" Type="http://schemas.openxmlformats.org/officeDocument/2006/relationships/hyperlink" Target="https://www.minrzs.gov.rs/sr/dokumenti/ostalo/sektor-za-socijalnu-zastitu/ex-post-analiza-strategije-razvoja-socijalne-zastite" TargetMode="External"/><Relationship Id="rId24" Type="http://schemas.openxmlformats.org/officeDocument/2006/relationships/hyperlink" Target="https://www.minrzs.gov.rs/sr/dokumenti/ostalo/sektor-za-socijalnu-zastitu/ex-post-analiza-strategije-razvoja-socijalne-zastite" TargetMode="External"/><Relationship Id="rId25" Type="http://schemas.openxmlformats.org/officeDocument/2006/relationships/hyperlink" Target="https://www.minrzs.gov.rs/sr/dokumenti/ostalo/sektor-za-socijalnu-zastitu/ex-post-analiza-strategije-razvoja-socijalne-zastite" TargetMode="External"/><Relationship Id="rId26" Type="http://schemas.openxmlformats.org/officeDocument/2006/relationships/hyperlink" Target="https://www.minrzs.gov.rs/sr/dokumenti/ostalo/sektor-za-socijalnu-zastitu/ex-post-analiza-strategije-razvoja-socijalne-zastite" TargetMode="External"/><Relationship Id="rId27" Type="http://schemas.openxmlformats.org/officeDocument/2006/relationships/hyperlink" Target="https://www.minrzs.gov.rs/sr/dokumenti/ostalo/sektor-za-socijalnu-zastitu/ex-post-analiza-strategije-razvoja-socijalne-zastite" TargetMode="External"/><Relationship Id="rId28" Type="http://schemas.openxmlformats.org/officeDocument/2006/relationships/hyperlink" Target="https://www.minrzs.gov.rs/sr/dokumenti/ostalo/sektor-za-socijalnu-zastitu/ex-post-analiza-strategije-razvoja-socijalne-zastite" TargetMode="External"/><Relationship Id="rId29" Type="http://schemas.openxmlformats.org/officeDocument/2006/relationships/hyperlink" Target="https://www.minrzs.gov.rs/sr/dokumenti/ostalo/sektor-za-socijalnu-zastitu/ex-post-analiza-strategije-razvoja-socijalne-zastite" TargetMode="External"/><Relationship Id="rId30" Type="http://schemas.openxmlformats.org/officeDocument/2006/relationships/hyperlink" Target="https://www.minrzs.gov.rs/sr/dokumenti/ostalo/sektor-za-socijalnu-zastitu/ex-post-analiza-strategije-razvoja-socijalne-zastite" TargetMode="External"/><Relationship Id="rId31" Type="http://schemas.openxmlformats.org/officeDocument/2006/relationships/hyperlink" Target="https://www.minrzs.gov.rs/sr/dokumenti/ostalo/sektor-za-socijalnu-zastitu/ex-post-analiza-strategije-razvoja-socijalne-zastite" TargetMode="External"/><Relationship Id="rId32" Type="http://schemas.openxmlformats.org/officeDocument/2006/relationships/hyperlink" Target="https://www.minrzs.gov.rs/sr/dokumenti/ostalo/sektor-za-socijalnu-zastitu/ex-post-analiza-strategije-razvoja-socijalne-zastite" TargetMode="External"/><Relationship Id="rId33" Type="http://schemas.openxmlformats.org/officeDocument/2006/relationships/hyperlink" Target="https://www.minrzs.gov.rs/sr/dokumenti/ostalo/sektor-za-socijalnu-zastitu/ex-post-analiza-strategije-razvoja-socijalne-zastite" TargetMode="External"/><Relationship Id="rId34" Type="http://schemas.openxmlformats.org/officeDocument/2006/relationships/hyperlink" Target="https://www.minrzs.gov.rs/sr/dokumenti/ostalo/sektor-za-socijalnu-zastitu/ex-post-analiza-strategije-razvoja-socijalne-zastite" TargetMode="External"/><Relationship Id="rId35" Type="http://schemas.openxmlformats.org/officeDocument/2006/relationships/hyperlink" Target="https://www.minrzs.gov.rs/sr/dokumenti/ostalo/sektor-za-socijalnu-zastitu/ex-post-analiza-strategije-razvoja-socijalne-zastite" TargetMode="External"/><Relationship Id="rId36" Type="http://schemas.openxmlformats.org/officeDocument/2006/relationships/hyperlink" Target="https://www.minrzs.gov.rs/sr/dokumenti/ostalo/sektor-za-socijalnu-zastitu/ex-post-analiza-strategije-razvoja-socijalne-zastite" TargetMode="External"/><Relationship Id="rId37" Type="http://schemas.openxmlformats.org/officeDocument/2006/relationships/hyperlink" Target="http://www.gs.gov.rs/lat/strategije-vs.html" TargetMode="External"/><Relationship Id="rId38" Type="http://schemas.openxmlformats.org/officeDocument/2006/relationships/hyperlink" Target="https://rsjp.gov.rs/cir/dokumenti-kategorija-cir/djp-cir/" TargetMode="External"/><Relationship Id="rId39" Type="http://schemas.openxmlformats.org/officeDocument/2006/relationships/hyperlink" Target="https://pravno-informacioni-sistem.rs/eli/rep/sgrs/skupstina/zakon/2003/34/1/reg" TargetMode="External"/><Relationship Id="rId40" Type="http://schemas.openxmlformats.org/officeDocument/2006/relationships/hyperlink" Target="https://www.pravno-informacioni-sistem.rs/SlGlasnikPortal/eli/rep/sgrs/ministarstva/pravilnik/2013/42/3/reg" TargetMode="External"/><Relationship Id="rId41" Type="http://schemas.openxmlformats.org/officeDocument/2006/relationships/hyperlink" Target="https://data.stat.gov.rs/Home/Result/180107?languageCode=sr-Latn" TargetMode="External"/>
</Relationships>
</file>

<file path=word/charts/_rels/chart3.xml.rels><?xml version="1.0" encoding="UTF-8"?>
<Relationships xmlns="http://schemas.openxmlformats.org/package/2006/relationships"><Relationship Id="rId1" Type="http://schemas.openxmlformats.org/officeDocument/2006/relationships/package" Target="../embeddings/Microsoft_Excel_Worksheet.xlsx"/>
</Relationships>
</file>

<file path=word/charts/_rels/chart4.xml.rels><?xml version="1.0" encoding="UTF-8"?>
<Relationships xmlns="http://schemas.openxmlformats.org/package/2006/relationships"><Relationship Id="rId1" Type="http://schemas.openxmlformats.org/officeDocument/2006/relationships/package" Target="../embeddings/Microsoft_Excel_Worksheet1.xlsx"/>
</Relationships>
</file>

<file path=word/charts/chart1.xml><?xml version="1.0" encoding="utf-8"?>
<c:chartSpace xmlns:c="http://schemas.openxmlformats.org/drawingml/2006/chart" xmlns:a="http://schemas.openxmlformats.org/drawingml/2006/main" xmlns:r="http://schemas.openxmlformats.org/officeDocument/2006/relationships">
  <c:lang val="en-US"/>
  <c:roundedCorners val="0"/>
  <c:chart>
    <c:autoTitleDeleted val="1"/>
    <c:plotArea>
      <c:barChart>
        <c:barDir val="col"/>
        <c:grouping val="clustered"/>
        <c:varyColors val="0"/>
        <c:ser>
          <c:idx val="0"/>
          <c:order val="0"/>
          <c:tx>
            <c:strRef>
              <c:f>label 0</c:f>
              <c:strCache>
                <c:ptCount val="1"/>
                <c:pt idx="0">
                  <c:v>Деца (0-17.год) </c:v>
                </c:pt>
              </c:strCache>
            </c:strRef>
          </c:tx>
          <c:spPr>
            <a:solidFill>
              <a:srgbClr val="4472c4"/>
            </a:solidFill>
            <a:ln w="0">
              <a:noFill/>
            </a:ln>
          </c:spPr>
          <c:invertIfNegative val="0"/>
          <c:dLbls>
            <c:txPr>
              <a:bodyPr wrap="square"/>
              <a:lstStyle/>
              <a:p>
                <a:pPr>
                  <a:defRPr b="0" sz="1000" spc="-1" strike="noStrike">
                    <a:solidFill>
                      <a:srgbClr val="000000"/>
                    </a:solidFill>
                    <a:latin typeface="Calibri"/>
                    <a:ea typeface="DejaVu Sans"/>
                  </a:defRPr>
                </a:pPr>
              </a:p>
            </c:txPr>
            <c:dLblPos val="outEnd"/>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multiLvlStrRef>
              <c:f>categories</c:f>
              <c:multiLvlStrCache>
                <c:ptCount val="9"/>
                <c:lvl>
                  <c:pt idx="0">
                    <c:v>М</c:v>
                  </c:pt>
                  <c:pt idx="1">
                    <c:v>Ж</c:v>
                  </c:pt>
                  <c:pt idx="2">
                    <c:v>Укупно</c:v>
                  </c:pt>
                  <c:pt idx="3">
                    <c:v>М</c:v>
                  </c:pt>
                  <c:pt idx="4">
                    <c:v>Ж</c:v>
                  </c:pt>
                  <c:pt idx="5">
                    <c:v>Укупно</c:v>
                  </c:pt>
                  <c:pt idx="6">
                    <c:v>М</c:v>
                  </c:pt>
                  <c:pt idx="7">
                    <c:v>Ж</c:v>
                  </c:pt>
                  <c:pt idx="8">
                    <c:v>Укупно</c:v>
                  </c:pt>
                </c:lvl>
                <c:lvl>
                  <c:pt idx="0">
                    <c:v>2021</c:v>
                  </c:pt>
                  <c:pt idx="3">
                    <c:v>2022</c:v>
                  </c:pt>
                  <c:pt idx="6">
                    <c:v>2023</c:v>
                  </c:pt>
                </c:lvl>
              </c:multiLvlStrCache>
            </c:multiLvlStrRef>
          </c:cat>
          <c:val>
            <c:numRef>
              <c:f>0</c:f>
              <c:numCache>
                <c:formatCode>General</c:formatCode>
                <c:ptCount val="9"/>
                <c:pt idx="0">
                  <c:v>280</c:v>
                </c:pt>
                <c:pt idx="1">
                  <c:v>250</c:v>
                </c:pt>
                <c:pt idx="2">
                  <c:v>530</c:v>
                </c:pt>
                <c:pt idx="3">
                  <c:v>282</c:v>
                </c:pt>
                <c:pt idx="4">
                  <c:v>235</c:v>
                </c:pt>
                <c:pt idx="5">
                  <c:v>517</c:v>
                </c:pt>
                <c:pt idx="6">
                  <c:v>243</c:v>
                </c:pt>
                <c:pt idx="7">
                  <c:v>174</c:v>
                </c:pt>
                <c:pt idx="8">
                  <c:v>417</c:v>
                </c:pt>
              </c:numCache>
            </c:numRef>
          </c:val>
        </c:ser>
        <c:ser>
          <c:idx val="1"/>
          <c:order val="1"/>
          <c:tx>
            <c:strRef>
              <c:f>label 1</c:f>
              <c:strCache>
                <c:ptCount val="1"/>
                <c:pt idx="0">
                  <c:v>Млади (18-25.год) </c:v>
                </c:pt>
              </c:strCache>
            </c:strRef>
          </c:tx>
          <c:spPr>
            <a:solidFill>
              <a:srgbClr val="ed7d31"/>
            </a:solidFill>
            <a:ln w="0">
              <a:noFill/>
            </a:ln>
          </c:spPr>
          <c:invertIfNegative val="0"/>
          <c:dLbls>
            <c:txPr>
              <a:bodyPr wrap="square"/>
              <a:lstStyle/>
              <a:p>
                <a:pPr>
                  <a:defRPr b="0" sz="1000" spc="-1" strike="noStrike">
                    <a:solidFill>
                      <a:srgbClr val="000000"/>
                    </a:solidFill>
                    <a:latin typeface="Calibri"/>
                    <a:ea typeface="DejaVu Sans"/>
                  </a:defRPr>
                </a:pPr>
              </a:p>
            </c:txPr>
            <c:dLblPos val="outEnd"/>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multiLvlStrRef>
              <c:f>categories</c:f>
              <c:multiLvlStrCache>
                <c:ptCount val="9"/>
                <c:lvl>
                  <c:pt idx="0">
                    <c:v>М</c:v>
                  </c:pt>
                  <c:pt idx="1">
                    <c:v>Ж</c:v>
                  </c:pt>
                  <c:pt idx="2">
                    <c:v>Укупно</c:v>
                  </c:pt>
                  <c:pt idx="3">
                    <c:v>М</c:v>
                  </c:pt>
                  <c:pt idx="4">
                    <c:v>Ж</c:v>
                  </c:pt>
                  <c:pt idx="5">
                    <c:v>Укупно</c:v>
                  </c:pt>
                  <c:pt idx="6">
                    <c:v>М</c:v>
                  </c:pt>
                  <c:pt idx="7">
                    <c:v>Ж</c:v>
                  </c:pt>
                  <c:pt idx="8">
                    <c:v>Укупно</c:v>
                  </c:pt>
                </c:lvl>
                <c:lvl>
                  <c:pt idx="0">
                    <c:v>2021</c:v>
                  </c:pt>
                  <c:pt idx="3">
                    <c:v>2022</c:v>
                  </c:pt>
                  <c:pt idx="6">
                    <c:v>2023</c:v>
                  </c:pt>
                </c:lvl>
              </c:multiLvlStrCache>
            </c:multiLvlStrRef>
          </c:cat>
          <c:val>
            <c:numRef>
              <c:f>1</c:f>
              <c:numCache>
                <c:formatCode>General</c:formatCode>
                <c:ptCount val="9"/>
                <c:pt idx="0">
                  <c:v>51</c:v>
                </c:pt>
                <c:pt idx="1">
                  <c:v>117</c:v>
                </c:pt>
                <c:pt idx="2">
                  <c:v>168</c:v>
                </c:pt>
                <c:pt idx="3">
                  <c:v>44</c:v>
                </c:pt>
                <c:pt idx="4">
                  <c:v>112</c:v>
                </c:pt>
                <c:pt idx="5">
                  <c:v>156</c:v>
                </c:pt>
                <c:pt idx="6">
                  <c:v>60</c:v>
                </c:pt>
                <c:pt idx="7">
                  <c:v>104</c:v>
                </c:pt>
                <c:pt idx="8">
                  <c:v>164</c:v>
                </c:pt>
              </c:numCache>
            </c:numRef>
          </c:val>
        </c:ser>
        <c:ser>
          <c:idx val="2"/>
          <c:order val="2"/>
          <c:tx>
            <c:strRef>
              <c:f>label 2</c:f>
              <c:strCache>
                <c:ptCount val="1"/>
                <c:pt idx="0">
                  <c:v>Одрасли ( 26-64.год)</c:v>
                </c:pt>
              </c:strCache>
            </c:strRef>
          </c:tx>
          <c:spPr>
            <a:solidFill>
              <a:srgbClr val="a5a5a5"/>
            </a:solidFill>
            <a:ln w="0">
              <a:noFill/>
            </a:ln>
          </c:spPr>
          <c:invertIfNegative val="0"/>
          <c:dLbls>
            <c:txPr>
              <a:bodyPr wrap="square"/>
              <a:lstStyle/>
              <a:p>
                <a:pPr>
                  <a:defRPr b="0" sz="1000" spc="-1" strike="noStrike">
                    <a:solidFill>
                      <a:srgbClr val="000000"/>
                    </a:solidFill>
                    <a:latin typeface="Calibri"/>
                    <a:ea typeface="DejaVu Sans"/>
                  </a:defRPr>
                </a:pPr>
              </a:p>
            </c:txPr>
            <c:dLblPos val="outEnd"/>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multiLvlStrRef>
              <c:f>categories</c:f>
              <c:multiLvlStrCache>
                <c:ptCount val="9"/>
                <c:lvl>
                  <c:pt idx="0">
                    <c:v>М</c:v>
                  </c:pt>
                  <c:pt idx="1">
                    <c:v>Ж</c:v>
                  </c:pt>
                  <c:pt idx="2">
                    <c:v>Укупно</c:v>
                  </c:pt>
                  <c:pt idx="3">
                    <c:v>М</c:v>
                  </c:pt>
                  <c:pt idx="4">
                    <c:v>Ж</c:v>
                  </c:pt>
                  <c:pt idx="5">
                    <c:v>Укупно</c:v>
                  </c:pt>
                  <c:pt idx="6">
                    <c:v>М</c:v>
                  </c:pt>
                  <c:pt idx="7">
                    <c:v>Ж</c:v>
                  </c:pt>
                  <c:pt idx="8">
                    <c:v>Укупно</c:v>
                  </c:pt>
                </c:lvl>
                <c:lvl>
                  <c:pt idx="0">
                    <c:v>2021</c:v>
                  </c:pt>
                  <c:pt idx="3">
                    <c:v>2022</c:v>
                  </c:pt>
                  <c:pt idx="6">
                    <c:v>2023</c:v>
                  </c:pt>
                </c:lvl>
              </c:multiLvlStrCache>
            </c:multiLvlStrRef>
          </c:cat>
          <c:val>
            <c:numRef>
              <c:f>2</c:f>
              <c:numCache>
                <c:formatCode>General</c:formatCode>
                <c:ptCount val="9"/>
                <c:pt idx="0">
                  <c:v>374</c:v>
                </c:pt>
                <c:pt idx="1">
                  <c:v>462</c:v>
                </c:pt>
                <c:pt idx="2">
                  <c:v>836</c:v>
                </c:pt>
                <c:pt idx="3">
                  <c:v>316</c:v>
                </c:pt>
                <c:pt idx="4">
                  <c:v>408</c:v>
                </c:pt>
                <c:pt idx="5">
                  <c:v>724</c:v>
                </c:pt>
                <c:pt idx="6">
                  <c:v>414</c:v>
                </c:pt>
                <c:pt idx="7">
                  <c:v>452</c:v>
                </c:pt>
                <c:pt idx="8">
                  <c:v>866</c:v>
                </c:pt>
              </c:numCache>
            </c:numRef>
          </c:val>
        </c:ser>
        <c:ser>
          <c:idx val="3"/>
          <c:order val="3"/>
          <c:tx>
            <c:strRef>
              <c:f>label 3</c:f>
              <c:strCache>
                <c:ptCount val="1"/>
                <c:pt idx="0">
                  <c:v>Стари ( 65 и више) </c:v>
                </c:pt>
              </c:strCache>
            </c:strRef>
          </c:tx>
          <c:spPr>
            <a:solidFill>
              <a:srgbClr val="ffc000"/>
            </a:solidFill>
            <a:ln w="0">
              <a:noFill/>
            </a:ln>
          </c:spPr>
          <c:invertIfNegative val="0"/>
          <c:dLbls>
            <c:txPr>
              <a:bodyPr wrap="square"/>
              <a:lstStyle/>
              <a:p>
                <a:pPr>
                  <a:defRPr b="0" sz="1000" spc="-1" strike="noStrike">
                    <a:solidFill>
                      <a:srgbClr val="000000"/>
                    </a:solidFill>
                    <a:latin typeface="Calibri"/>
                    <a:ea typeface="DejaVu Sans"/>
                  </a:defRPr>
                </a:pPr>
              </a:p>
            </c:txPr>
            <c:dLblPos val="outEnd"/>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multiLvlStrRef>
              <c:f>categories</c:f>
              <c:multiLvlStrCache>
                <c:ptCount val="9"/>
                <c:lvl>
                  <c:pt idx="0">
                    <c:v>М</c:v>
                  </c:pt>
                  <c:pt idx="1">
                    <c:v>Ж</c:v>
                  </c:pt>
                  <c:pt idx="2">
                    <c:v>Укупно</c:v>
                  </c:pt>
                  <c:pt idx="3">
                    <c:v>М</c:v>
                  </c:pt>
                  <c:pt idx="4">
                    <c:v>Ж</c:v>
                  </c:pt>
                  <c:pt idx="5">
                    <c:v>Укупно</c:v>
                  </c:pt>
                  <c:pt idx="6">
                    <c:v>М</c:v>
                  </c:pt>
                  <c:pt idx="7">
                    <c:v>Ж</c:v>
                  </c:pt>
                  <c:pt idx="8">
                    <c:v>Укупно</c:v>
                  </c:pt>
                </c:lvl>
                <c:lvl>
                  <c:pt idx="0">
                    <c:v>2021</c:v>
                  </c:pt>
                  <c:pt idx="3">
                    <c:v>2022</c:v>
                  </c:pt>
                  <c:pt idx="6">
                    <c:v>2023</c:v>
                  </c:pt>
                </c:lvl>
              </c:multiLvlStrCache>
            </c:multiLvlStrRef>
          </c:cat>
          <c:val>
            <c:numRef>
              <c:f>3</c:f>
              <c:numCache>
                <c:formatCode>General</c:formatCode>
                <c:ptCount val="9"/>
                <c:pt idx="0">
                  <c:v>70</c:v>
                </c:pt>
                <c:pt idx="1">
                  <c:v>102</c:v>
                </c:pt>
                <c:pt idx="2">
                  <c:v>172</c:v>
                </c:pt>
                <c:pt idx="3">
                  <c:v>77</c:v>
                </c:pt>
                <c:pt idx="4">
                  <c:v>110</c:v>
                </c:pt>
                <c:pt idx="5">
                  <c:v>187</c:v>
                </c:pt>
                <c:pt idx="6">
                  <c:v>84</c:v>
                </c:pt>
                <c:pt idx="7">
                  <c:v>123</c:v>
                </c:pt>
                <c:pt idx="8">
                  <c:v>207</c:v>
                </c:pt>
              </c:numCache>
            </c:numRef>
          </c:val>
        </c:ser>
        <c:ser>
          <c:idx val="4"/>
          <c:order val="4"/>
          <c:tx>
            <c:strRef>
              <c:f>label 4</c:f>
              <c:strCache>
                <c:ptCount val="1"/>
                <c:pt idx="0">
                  <c:v>Укупно</c:v>
                </c:pt>
              </c:strCache>
            </c:strRef>
          </c:tx>
          <c:spPr>
            <a:solidFill>
              <a:srgbClr val="5b9bd5"/>
            </a:solidFill>
            <a:ln w="0">
              <a:noFill/>
            </a:ln>
          </c:spPr>
          <c:invertIfNegative val="0"/>
          <c:dLbls>
            <c:txPr>
              <a:bodyPr wrap="square"/>
              <a:lstStyle/>
              <a:p>
                <a:pPr>
                  <a:defRPr b="0" sz="1000" spc="-1" strike="noStrike">
                    <a:solidFill>
                      <a:srgbClr val="000000"/>
                    </a:solidFill>
                    <a:latin typeface="Calibri"/>
                    <a:ea typeface="DejaVu Sans"/>
                  </a:defRPr>
                </a:pPr>
              </a:p>
            </c:txPr>
            <c:dLblPos val="outEnd"/>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multiLvlStrRef>
              <c:f>categories</c:f>
              <c:multiLvlStrCache>
                <c:ptCount val="9"/>
                <c:lvl>
                  <c:pt idx="0">
                    <c:v>М</c:v>
                  </c:pt>
                  <c:pt idx="1">
                    <c:v>Ж</c:v>
                  </c:pt>
                  <c:pt idx="2">
                    <c:v>Укупно</c:v>
                  </c:pt>
                  <c:pt idx="3">
                    <c:v>М</c:v>
                  </c:pt>
                  <c:pt idx="4">
                    <c:v>Ж</c:v>
                  </c:pt>
                  <c:pt idx="5">
                    <c:v>Укупно</c:v>
                  </c:pt>
                  <c:pt idx="6">
                    <c:v>М</c:v>
                  </c:pt>
                  <c:pt idx="7">
                    <c:v>Ж</c:v>
                  </c:pt>
                  <c:pt idx="8">
                    <c:v>Укупно</c:v>
                  </c:pt>
                </c:lvl>
                <c:lvl>
                  <c:pt idx="0">
                    <c:v>2021</c:v>
                  </c:pt>
                  <c:pt idx="3">
                    <c:v>2022</c:v>
                  </c:pt>
                  <c:pt idx="6">
                    <c:v>2023</c:v>
                  </c:pt>
                </c:lvl>
              </c:multiLvlStrCache>
            </c:multiLvlStrRef>
          </c:cat>
          <c:val>
            <c:numRef>
              <c:f>4</c:f>
              <c:numCache>
                <c:formatCode>General</c:formatCode>
                <c:ptCount val="9"/>
                <c:pt idx="0">
                  <c:v>775</c:v>
                </c:pt>
                <c:pt idx="1">
                  <c:v>931</c:v>
                </c:pt>
                <c:pt idx="2">
                  <c:v>1706</c:v>
                </c:pt>
                <c:pt idx="3">
                  <c:v>719</c:v>
                </c:pt>
                <c:pt idx="4">
                  <c:v>865</c:v>
                </c:pt>
                <c:pt idx="5">
                  <c:v>1584</c:v>
                </c:pt>
                <c:pt idx="6">
                  <c:v>801</c:v>
                </c:pt>
                <c:pt idx="7">
                  <c:v>853</c:v>
                </c:pt>
                <c:pt idx="8">
                  <c:v>1654</c:v>
                </c:pt>
              </c:numCache>
            </c:numRef>
          </c:val>
        </c:ser>
        <c:gapWidth val="219"/>
        <c:overlap val="-27"/>
        <c:axId val="46279651"/>
        <c:axId val="36933506"/>
      </c:barChart>
      <c:catAx>
        <c:axId val="46279651"/>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b="0" sz="900" spc="-1" strike="noStrike">
                <a:solidFill>
                  <a:srgbClr val="595959"/>
                </a:solidFill>
                <a:latin typeface="Calibri"/>
                <a:ea typeface="DejaVu Sans"/>
              </a:defRPr>
            </a:pPr>
          </a:p>
        </c:txPr>
        <c:crossAx val="36933506"/>
        <c:crosses val="autoZero"/>
        <c:auto val="1"/>
        <c:lblAlgn val="ctr"/>
        <c:lblOffset val="100"/>
        <c:noMultiLvlLbl val="0"/>
      </c:catAx>
      <c:valAx>
        <c:axId val="36933506"/>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6480">
            <a:noFill/>
          </a:ln>
        </c:spPr>
        <c:txPr>
          <a:bodyPr/>
          <a:lstStyle/>
          <a:p>
            <a:pPr>
              <a:defRPr b="0" sz="900" spc="-1" strike="noStrike">
                <a:solidFill>
                  <a:srgbClr val="595959"/>
                </a:solidFill>
                <a:latin typeface="Calibri"/>
                <a:ea typeface="DejaVu Sans"/>
              </a:defRPr>
            </a:pPr>
          </a:p>
        </c:txPr>
        <c:crossAx val="46279651"/>
        <c:crosses val="autoZero"/>
        <c:crossBetween val="between"/>
      </c:valAx>
      <c:spPr>
        <a:noFill/>
        <a:ln w="0">
          <a:noFill/>
        </a:ln>
      </c:spPr>
    </c:plotArea>
    <c:legend>
      <c:legendPos val="b"/>
      <c:overlay val="0"/>
      <c:spPr>
        <a:noFill/>
        <a:ln w="0">
          <a:noFill/>
        </a:ln>
      </c:spPr>
      <c:txPr>
        <a:bodyPr/>
        <a:lstStyle/>
        <a:p>
          <a:pPr>
            <a:defRPr b="0" sz="900" spc="-1" strike="noStrike">
              <a:solidFill>
                <a:srgbClr val="595959"/>
              </a:solidFill>
              <a:latin typeface="Calibri"/>
              <a:ea typeface="DejaVu Sans"/>
            </a:defRPr>
          </a:pPr>
        </a:p>
      </c:txPr>
    </c:legend>
    <c:plotVisOnly val="1"/>
    <c:dispBlanksAs val="gap"/>
  </c:chart>
  <c:spPr>
    <a:solidFill>
      <a:srgbClr val="ffffff"/>
    </a:solidFill>
    <a:ln w="9360">
      <a:solidFill>
        <a:srgbClr val="d9d9d9"/>
      </a:solidFill>
      <a:round/>
    </a:ln>
  </c:spPr>
</c:chartSpace>
</file>

<file path=word/charts/chart2.xml><?xml version="1.0" encoding="utf-8"?>
<c:chartSpace xmlns:c="http://schemas.openxmlformats.org/drawingml/2006/chart" xmlns:a="http://schemas.openxmlformats.org/drawingml/2006/main" xmlns:r="http://schemas.openxmlformats.org/officeDocument/2006/relationships">
  <c:lang val="en-US"/>
  <c:roundedCorners val="0"/>
  <c:chart>
    <c:autoTitleDeleted val="1"/>
    <c:plotArea>
      <c:barChart>
        <c:barDir val="col"/>
        <c:grouping val="clustered"/>
        <c:varyColors val="0"/>
        <c:ser>
          <c:idx val="0"/>
          <c:order val="0"/>
          <c:tx>
            <c:strRef>
              <c:f>label 0</c:f>
              <c:strCache>
                <c:ptCount val="1"/>
                <c:pt idx="0">
                  <c:v>0-2  године</c:v>
                </c:pt>
              </c:strCache>
            </c:strRef>
          </c:tx>
          <c:spPr>
            <a:solidFill>
              <a:srgbClr val="4472c4"/>
            </a:solidFill>
            <a:ln w="0">
              <a:noFill/>
            </a:ln>
          </c:spPr>
          <c:invertIfNegative val="0"/>
          <c:dLbls>
            <c:txPr>
              <a:bodyPr wrap="square"/>
              <a:lstStyle/>
              <a:p>
                <a:pPr>
                  <a:defRPr b="0" sz="1000" spc="-1" strike="noStrike">
                    <a:solidFill>
                      <a:srgbClr val="000000"/>
                    </a:solidFill>
                    <a:latin typeface="Calibri"/>
                    <a:ea typeface="DejaVu Sans"/>
                  </a:defRPr>
                </a:pPr>
              </a:p>
            </c:txPr>
            <c:dLblPos val="outEnd"/>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multiLvlStrRef>
              <c:f>categories</c:f>
              <c:multiLvlStrCache>
                <c:ptCount val="9"/>
                <c:lvl>
                  <c:pt idx="0">
                    <c:v>М </c:v>
                  </c:pt>
                  <c:pt idx="1">
                    <c:v>Ж </c:v>
                  </c:pt>
                  <c:pt idx="2">
                    <c:v>Укупно</c:v>
                  </c:pt>
                  <c:pt idx="3">
                    <c:v>М </c:v>
                  </c:pt>
                  <c:pt idx="4">
                    <c:v>Ж </c:v>
                  </c:pt>
                  <c:pt idx="5">
                    <c:v>Укупно</c:v>
                  </c:pt>
                  <c:pt idx="6">
                    <c:v>М </c:v>
                  </c:pt>
                  <c:pt idx="7">
                    <c:v>Ж </c:v>
                  </c:pt>
                  <c:pt idx="8">
                    <c:v>Укупно</c:v>
                  </c:pt>
                </c:lvl>
                <c:lvl>
                  <c:pt idx="0">
                    <c:v>2021</c:v>
                  </c:pt>
                  <c:pt idx="3">
                    <c:v>2022</c:v>
                  </c:pt>
                  <c:pt idx="6">
                    <c:v>2023</c:v>
                  </c:pt>
                </c:lvl>
              </c:multiLvlStrCache>
            </c:multiLvlStrRef>
          </c:cat>
          <c:val>
            <c:numRef>
              <c:f>0</c:f>
              <c:numCache>
                <c:formatCode>General</c:formatCode>
                <c:ptCount val="9"/>
                <c:pt idx="0">
                  <c:v>28</c:v>
                </c:pt>
                <c:pt idx="1">
                  <c:v>17</c:v>
                </c:pt>
                <c:pt idx="2">
                  <c:v>45</c:v>
                </c:pt>
                <c:pt idx="3">
                  <c:v>26</c:v>
                </c:pt>
                <c:pt idx="4">
                  <c:v>11</c:v>
                </c:pt>
                <c:pt idx="5">
                  <c:v>37</c:v>
                </c:pt>
                <c:pt idx="6">
                  <c:v>12</c:v>
                </c:pt>
                <c:pt idx="7">
                  <c:v>13</c:v>
                </c:pt>
                <c:pt idx="8">
                  <c:v>25</c:v>
                </c:pt>
              </c:numCache>
            </c:numRef>
          </c:val>
        </c:ser>
        <c:ser>
          <c:idx val="1"/>
          <c:order val="1"/>
          <c:tx>
            <c:strRef>
              <c:f>label 1</c:f>
              <c:strCache>
                <c:ptCount val="1"/>
                <c:pt idx="0">
                  <c:v>3-5 година</c:v>
                </c:pt>
              </c:strCache>
            </c:strRef>
          </c:tx>
          <c:spPr>
            <a:solidFill>
              <a:srgbClr val="ed7d31"/>
            </a:solidFill>
            <a:ln w="0">
              <a:noFill/>
            </a:ln>
          </c:spPr>
          <c:invertIfNegative val="0"/>
          <c:dLbls>
            <c:txPr>
              <a:bodyPr wrap="square"/>
              <a:lstStyle/>
              <a:p>
                <a:pPr>
                  <a:defRPr b="0" sz="1000" spc="-1" strike="noStrike">
                    <a:solidFill>
                      <a:srgbClr val="000000"/>
                    </a:solidFill>
                    <a:latin typeface="Calibri"/>
                    <a:ea typeface="DejaVu Sans"/>
                  </a:defRPr>
                </a:pPr>
              </a:p>
            </c:txPr>
            <c:dLblPos val="outEnd"/>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multiLvlStrRef>
              <c:f>categories</c:f>
              <c:multiLvlStrCache>
                <c:ptCount val="9"/>
                <c:lvl>
                  <c:pt idx="0">
                    <c:v>М </c:v>
                  </c:pt>
                  <c:pt idx="1">
                    <c:v>Ж </c:v>
                  </c:pt>
                  <c:pt idx="2">
                    <c:v>Укупно</c:v>
                  </c:pt>
                  <c:pt idx="3">
                    <c:v>М </c:v>
                  </c:pt>
                  <c:pt idx="4">
                    <c:v>Ж </c:v>
                  </c:pt>
                  <c:pt idx="5">
                    <c:v>Укупно</c:v>
                  </c:pt>
                  <c:pt idx="6">
                    <c:v>М </c:v>
                  </c:pt>
                  <c:pt idx="7">
                    <c:v>Ж </c:v>
                  </c:pt>
                  <c:pt idx="8">
                    <c:v>Укупно</c:v>
                  </c:pt>
                </c:lvl>
                <c:lvl>
                  <c:pt idx="0">
                    <c:v>2021</c:v>
                  </c:pt>
                  <c:pt idx="3">
                    <c:v>2022</c:v>
                  </c:pt>
                  <c:pt idx="6">
                    <c:v>2023</c:v>
                  </c:pt>
                </c:lvl>
              </c:multiLvlStrCache>
            </c:multiLvlStrRef>
          </c:cat>
          <c:val>
            <c:numRef>
              <c:f>1</c:f>
              <c:numCache>
                <c:formatCode>General</c:formatCode>
                <c:ptCount val="9"/>
                <c:pt idx="0">
                  <c:v>32</c:v>
                </c:pt>
                <c:pt idx="1">
                  <c:v>38</c:v>
                </c:pt>
                <c:pt idx="2">
                  <c:v>70</c:v>
                </c:pt>
                <c:pt idx="3">
                  <c:v>32</c:v>
                </c:pt>
                <c:pt idx="4">
                  <c:v>27</c:v>
                </c:pt>
                <c:pt idx="5">
                  <c:v>59</c:v>
                </c:pt>
                <c:pt idx="6">
                  <c:v>31</c:v>
                </c:pt>
                <c:pt idx="7">
                  <c:v>13</c:v>
                </c:pt>
                <c:pt idx="8">
                  <c:v>44</c:v>
                </c:pt>
              </c:numCache>
            </c:numRef>
          </c:val>
        </c:ser>
        <c:ser>
          <c:idx val="2"/>
          <c:order val="2"/>
          <c:tx>
            <c:strRef>
              <c:f>label 2</c:f>
              <c:strCache>
                <c:ptCount val="1"/>
                <c:pt idx="0">
                  <c:v>6-14 година</c:v>
                </c:pt>
              </c:strCache>
            </c:strRef>
          </c:tx>
          <c:spPr>
            <a:solidFill>
              <a:srgbClr val="a5a5a5"/>
            </a:solidFill>
            <a:ln w="0">
              <a:noFill/>
            </a:ln>
          </c:spPr>
          <c:invertIfNegative val="0"/>
          <c:dLbls>
            <c:txPr>
              <a:bodyPr wrap="square"/>
              <a:lstStyle/>
              <a:p>
                <a:pPr>
                  <a:defRPr b="0" sz="1000" spc="-1" strike="noStrike">
                    <a:solidFill>
                      <a:srgbClr val="000000"/>
                    </a:solidFill>
                    <a:latin typeface="Calibri"/>
                    <a:ea typeface="DejaVu Sans"/>
                  </a:defRPr>
                </a:pPr>
              </a:p>
            </c:txPr>
            <c:dLblPos val="outEnd"/>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multiLvlStrRef>
              <c:f>categories</c:f>
              <c:multiLvlStrCache>
                <c:ptCount val="9"/>
                <c:lvl>
                  <c:pt idx="0">
                    <c:v>М </c:v>
                  </c:pt>
                  <c:pt idx="1">
                    <c:v>Ж </c:v>
                  </c:pt>
                  <c:pt idx="2">
                    <c:v>Укупно</c:v>
                  </c:pt>
                  <c:pt idx="3">
                    <c:v>М </c:v>
                  </c:pt>
                  <c:pt idx="4">
                    <c:v>Ж </c:v>
                  </c:pt>
                  <c:pt idx="5">
                    <c:v>Укупно</c:v>
                  </c:pt>
                  <c:pt idx="6">
                    <c:v>М </c:v>
                  </c:pt>
                  <c:pt idx="7">
                    <c:v>Ж </c:v>
                  </c:pt>
                  <c:pt idx="8">
                    <c:v>Укупно</c:v>
                  </c:pt>
                </c:lvl>
                <c:lvl>
                  <c:pt idx="0">
                    <c:v>2021</c:v>
                  </c:pt>
                  <c:pt idx="3">
                    <c:v>2022</c:v>
                  </c:pt>
                  <c:pt idx="6">
                    <c:v>2023</c:v>
                  </c:pt>
                </c:lvl>
              </c:multiLvlStrCache>
            </c:multiLvlStrRef>
          </c:cat>
          <c:val>
            <c:numRef>
              <c:f>2</c:f>
              <c:numCache>
                <c:formatCode>General</c:formatCode>
                <c:ptCount val="9"/>
                <c:pt idx="0">
                  <c:v>132</c:v>
                </c:pt>
                <c:pt idx="1">
                  <c:v>130</c:v>
                </c:pt>
                <c:pt idx="2">
                  <c:v>262</c:v>
                </c:pt>
                <c:pt idx="3">
                  <c:v>137</c:v>
                </c:pt>
                <c:pt idx="4">
                  <c:v>132</c:v>
                </c:pt>
                <c:pt idx="5">
                  <c:v>269</c:v>
                </c:pt>
                <c:pt idx="6">
                  <c:v>120</c:v>
                </c:pt>
                <c:pt idx="7">
                  <c:v>95</c:v>
                </c:pt>
                <c:pt idx="8">
                  <c:v>215</c:v>
                </c:pt>
              </c:numCache>
            </c:numRef>
          </c:val>
        </c:ser>
        <c:ser>
          <c:idx val="3"/>
          <c:order val="3"/>
          <c:tx>
            <c:strRef>
              <c:f>label 3</c:f>
              <c:strCache>
                <c:ptCount val="1"/>
                <c:pt idx="0">
                  <c:v>15-17 година</c:v>
                </c:pt>
              </c:strCache>
            </c:strRef>
          </c:tx>
          <c:spPr>
            <a:solidFill>
              <a:srgbClr val="ffc000"/>
            </a:solidFill>
            <a:ln w="0">
              <a:noFill/>
            </a:ln>
          </c:spPr>
          <c:invertIfNegative val="0"/>
          <c:dLbls>
            <c:txPr>
              <a:bodyPr wrap="square"/>
              <a:lstStyle/>
              <a:p>
                <a:pPr>
                  <a:defRPr b="0" sz="1000" spc="-1" strike="noStrike">
                    <a:solidFill>
                      <a:srgbClr val="000000"/>
                    </a:solidFill>
                    <a:latin typeface="Calibri"/>
                    <a:ea typeface="DejaVu Sans"/>
                  </a:defRPr>
                </a:pPr>
              </a:p>
            </c:txPr>
            <c:dLblPos val="outEnd"/>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multiLvlStrRef>
              <c:f>categories</c:f>
              <c:multiLvlStrCache>
                <c:ptCount val="9"/>
                <c:lvl>
                  <c:pt idx="0">
                    <c:v>М </c:v>
                  </c:pt>
                  <c:pt idx="1">
                    <c:v>Ж </c:v>
                  </c:pt>
                  <c:pt idx="2">
                    <c:v>Укупно</c:v>
                  </c:pt>
                  <c:pt idx="3">
                    <c:v>М </c:v>
                  </c:pt>
                  <c:pt idx="4">
                    <c:v>Ж </c:v>
                  </c:pt>
                  <c:pt idx="5">
                    <c:v>Укупно</c:v>
                  </c:pt>
                  <c:pt idx="6">
                    <c:v>М </c:v>
                  </c:pt>
                  <c:pt idx="7">
                    <c:v>Ж </c:v>
                  </c:pt>
                  <c:pt idx="8">
                    <c:v>Укупно</c:v>
                  </c:pt>
                </c:lvl>
                <c:lvl>
                  <c:pt idx="0">
                    <c:v>2021</c:v>
                  </c:pt>
                  <c:pt idx="3">
                    <c:v>2022</c:v>
                  </c:pt>
                  <c:pt idx="6">
                    <c:v>2023</c:v>
                  </c:pt>
                </c:lvl>
              </c:multiLvlStrCache>
            </c:multiLvlStrRef>
          </c:cat>
          <c:val>
            <c:numRef>
              <c:f>3</c:f>
              <c:numCache>
                <c:formatCode>General</c:formatCode>
                <c:ptCount val="9"/>
                <c:pt idx="0">
                  <c:v>88</c:v>
                </c:pt>
                <c:pt idx="1">
                  <c:v>65</c:v>
                </c:pt>
                <c:pt idx="2">
                  <c:v>153</c:v>
                </c:pt>
                <c:pt idx="3">
                  <c:v>87</c:v>
                </c:pt>
                <c:pt idx="4">
                  <c:v>65</c:v>
                </c:pt>
                <c:pt idx="5">
                  <c:v>152</c:v>
                </c:pt>
                <c:pt idx="6">
                  <c:v>80</c:v>
                </c:pt>
                <c:pt idx="7">
                  <c:v>53</c:v>
                </c:pt>
                <c:pt idx="8">
                  <c:v>133</c:v>
                </c:pt>
              </c:numCache>
            </c:numRef>
          </c:val>
        </c:ser>
        <c:ser>
          <c:idx val="4"/>
          <c:order val="4"/>
          <c:tx>
            <c:strRef>
              <c:f>label 4</c:f>
              <c:strCache>
                <c:ptCount val="1"/>
                <c:pt idx="0">
                  <c:v>Укупно</c:v>
                </c:pt>
              </c:strCache>
            </c:strRef>
          </c:tx>
          <c:spPr>
            <a:solidFill>
              <a:srgbClr val="5b9bd5"/>
            </a:solidFill>
            <a:ln w="0">
              <a:noFill/>
            </a:ln>
          </c:spPr>
          <c:invertIfNegative val="0"/>
          <c:dLbls>
            <c:txPr>
              <a:bodyPr wrap="square"/>
              <a:lstStyle/>
              <a:p>
                <a:pPr>
                  <a:defRPr b="0" sz="1000" spc="-1" strike="noStrike">
                    <a:solidFill>
                      <a:srgbClr val="000000"/>
                    </a:solidFill>
                    <a:latin typeface="Calibri"/>
                    <a:ea typeface="DejaVu Sans"/>
                  </a:defRPr>
                </a:pPr>
              </a:p>
            </c:txPr>
            <c:dLblPos val="outEnd"/>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multiLvlStrRef>
              <c:f>categories</c:f>
              <c:multiLvlStrCache>
                <c:ptCount val="9"/>
                <c:lvl>
                  <c:pt idx="0">
                    <c:v>М </c:v>
                  </c:pt>
                  <c:pt idx="1">
                    <c:v>Ж </c:v>
                  </c:pt>
                  <c:pt idx="2">
                    <c:v>Укупно</c:v>
                  </c:pt>
                  <c:pt idx="3">
                    <c:v>М </c:v>
                  </c:pt>
                  <c:pt idx="4">
                    <c:v>Ж </c:v>
                  </c:pt>
                  <c:pt idx="5">
                    <c:v>Укупно</c:v>
                  </c:pt>
                  <c:pt idx="6">
                    <c:v>М </c:v>
                  </c:pt>
                  <c:pt idx="7">
                    <c:v>Ж </c:v>
                  </c:pt>
                  <c:pt idx="8">
                    <c:v>Укупно</c:v>
                  </c:pt>
                </c:lvl>
                <c:lvl>
                  <c:pt idx="0">
                    <c:v>2021</c:v>
                  </c:pt>
                  <c:pt idx="3">
                    <c:v>2022</c:v>
                  </c:pt>
                  <c:pt idx="6">
                    <c:v>2023</c:v>
                  </c:pt>
                </c:lvl>
              </c:multiLvlStrCache>
            </c:multiLvlStrRef>
          </c:cat>
          <c:val>
            <c:numRef>
              <c:f>4</c:f>
              <c:numCache>
                <c:formatCode>General</c:formatCode>
                <c:ptCount val="9"/>
                <c:pt idx="0">
                  <c:v>280</c:v>
                </c:pt>
                <c:pt idx="1">
                  <c:v>250</c:v>
                </c:pt>
                <c:pt idx="2">
                  <c:v>530</c:v>
                </c:pt>
                <c:pt idx="3">
                  <c:v>282</c:v>
                </c:pt>
                <c:pt idx="4">
                  <c:v>235</c:v>
                </c:pt>
                <c:pt idx="5">
                  <c:v>517</c:v>
                </c:pt>
                <c:pt idx="6">
                  <c:v>243</c:v>
                </c:pt>
                <c:pt idx="7">
                  <c:v>174</c:v>
                </c:pt>
                <c:pt idx="8">
                  <c:v>417</c:v>
                </c:pt>
              </c:numCache>
            </c:numRef>
          </c:val>
        </c:ser>
        <c:gapWidth val="219"/>
        <c:overlap val="-27"/>
        <c:axId val="77834820"/>
        <c:axId val="51306197"/>
      </c:barChart>
      <c:catAx>
        <c:axId val="77834820"/>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b="0" sz="900" spc="-1" strike="noStrike">
                <a:solidFill>
                  <a:srgbClr val="595959"/>
                </a:solidFill>
                <a:latin typeface="Calibri"/>
                <a:ea typeface="DejaVu Sans"/>
              </a:defRPr>
            </a:pPr>
          </a:p>
        </c:txPr>
        <c:crossAx val="51306197"/>
        <c:crosses val="autoZero"/>
        <c:auto val="1"/>
        <c:lblAlgn val="ctr"/>
        <c:lblOffset val="100"/>
        <c:noMultiLvlLbl val="0"/>
      </c:catAx>
      <c:valAx>
        <c:axId val="51306197"/>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6480">
            <a:noFill/>
          </a:ln>
        </c:spPr>
        <c:txPr>
          <a:bodyPr/>
          <a:lstStyle/>
          <a:p>
            <a:pPr>
              <a:defRPr b="0" sz="900" spc="-1" strike="noStrike">
                <a:solidFill>
                  <a:srgbClr val="595959"/>
                </a:solidFill>
                <a:latin typeface="Calibri"/>
                <a:ea typeface="DejaVu Sans"/>
              </a:defRPr>
            </a:pPr>
          </a:p>
        </c:txPr>
        <c:crossAx val="77834820"/>
        <c:crosses val="autoZero"/>
        <c:crossBetween val="between"/>
      </c:valAx>
      <c:spPr>
        <a:noFill/>
        <a:ln w="0">
          <a:noFill/>
        </a:ln>
      </c:spPr>
    </c:plotArea>
    <c:legend>
      <c:legendPos val="b"/>
      <c:overlay val="0"/>
      <c:spPr>
        <a:noFill/>
        <a:ln w="0">
          <a:noFill/>
        </a:ln>
      </c:spPr>
      <c:txPr>
        <a:bodyPr/>
        <a:lstStyle/>
        <a:p>
          <a:pPr>
            <a:defRPr b="0" sz="900" spc="-1" strike="noStrike">
              <a:solidFill>
                <a:srgbClr val="595959"/>
              </a:solidFill>
              <a:latin typeface="Calibri"/>
              <a:ea typeface="DejaVu Sans"/>
            </a:defRPr>
          </a:pPr>
        </a:p>
      </c:txPr>
    </c:legend>
    <c:plotVisOnly val="1"/>
    <c:dispBlanksAs val="gap"/>
  </c:chart>
  <c:spPr>
    <a:solidFill>
      <a:srgbClr val="ffffff"/>
    </a:solidFill>
    <a:ln w="9360">
      <a:solidFill>
        <a:srgbClr val="d9d9d9"/>
      </a:solidFill>
      <a:round/>
    </a:ln>
  </c:spPr>
</c:chartSpace>
</file>

<file path=word/charts/chart3.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lang="sr-BA" sz="1200" spc="-1" strike="noStrike">
                <a:solidFill>
                  <a:srgbClr val="404040"/>
                </a:solidFill>
                <a:latin typeface="Calibri"/>
                <a:ea typeface="DejaVu Sans"/>
              </a:defRPr>
            </a:pPr>
            <a:r>
              <a:rPr b="0" lang="sr-BA" sz="1200" spc="-1" strike="noStrike">
                <a:solidFill>
                  <a:srgbClr val="404040"/>
                </a:solidFill>
                <a:latin typeface="Calibri"/>
                <a:ea typeface="DejaVu Sans"/>
              </a:rPr>
              <a:t>Процена трошкова за реализацију мера у Акционом плану Програма унапређења социјалне заштите у општини Беочин за период од 2025. до 2027. године  </a:t>
            </a:r>
          </a:p>
        </c:rich>
      </c:tx>
      <c:overlay val="0"/>
      <c:spPr>
        <a:noFill/>
        <a:ln w="0">
          <a:noFill/>
        </a:ln>
      </c:spPr>
    </c:title>
    <c:autoTitleDeleted val="0"/>
    <c:view3D>
      <c:rotX val="50"/>
      <c:rotY val="0"/>
      <c:rAngAx val="0"/>
      <c:perspective val="30"/>
    </c:view3D>
    <c:floor>
      <c:spPr>
        <a:solidFill>
          <a:srgbClr val="d9d9d9"/>
        </a:solidFill>
        <a:ln w="0">
          <a:noFill/>
        </a:ln>
      </c:spPr>
    </c:floor>
    <c:sideWall>
      <c:spPr>
        <a:solidFill>
          <a:srgbClr val="d9d9d9"/>
        </a:solidFill>
        <a:ln w="0">
          <a:noFill/>
        </a:ln>
      </c:spPr>
    </c:sideWall>
    <c:backWall>
      <c:spPr>
        <a:solidFill>
          <a:srgbClr val="d9d9d9"/>
        </a:solidFill>
        <a:ln w="0">
          <a:noFill/>
        </a:ln>
      </c:spPr>
    </c:backWall>
    <c:plotArea>
      <c:pie3DChart>
        <c:varyColors val="1"/>
        <c:ser>
          <c:idx val="0"/>
          <c:order val="0"/>
          <c:tx>
            <c:strRef>
              <c:f>label 0</c:f>
              <c:strCache>
                <c:ptCount val="1"/>
                <c:pt idx="0">
                  <c:v>Series1</c:v>
                </c:pt>
              </c:strCache>
            </c:strRef>
          </c:tx>
          <c:spPr>
            <a:solidFill>
              <a:srgbClr val="4472c4"/>
            </a:solidFill>
            <a:ln w="0">
              <a:noFill/>
            </a:ln>
          </c:spPr>
          <c:explosion val="0"/>
          <c:dPt>
            <c:idx val="0"/>
            <c:spPr>
              <a:solidFill>
                <a:srgbClr val="4472c4"/>
              </a:solidFill>
              <a:ln w="0">
                <a:noFill/>
              </a:ln>
            </c:spPr>
          </c:dPt>
          <c:dPt>
            <c:idx val="1"/>
            <c:spPr>
              <a:solidFill>
                <a:srgbClr val="92d050"/>
              </a:solidFill>
              <a:ln w="0">
                <a:noFill/>
              </a:ln>
            </c:spPr>
          </c:dPt>
          <c:dLbls>
            <c:dLbl>
              <c:idx val="0"/>
              <c:txPr>
                <a:bodyPr wrap="square"/>
                <a:lstStyle/>
                <a:p>
                  <a:pPr>
                    <a:defRPr b="0" sz="1000" spc="-1" strike="noStrike">
                      <a:solidFill>
                        <a:srgbClr val="000000"/>
                      </a:solidFill>
                      <a:latin typeface="Arial"/>
                    </a:defRPr>
                  </a:pPr>
                </a:p>
              </c:txPr>
              <c:tx>
                <c:rich>
                  <a:bodyPr/>
                  <a:p>
                    <a:r>
                      <a:rPr b="0" sz="1000" spc="-1" strike="noStrike">
                        <a:solidFill>
                          <a:srgbClr val="000000"/>
                        </a:solidFill>
                        <a:latin typeface="Arial"/>
                        <a:ea typeface="DejaVu Sans"/>
                      </a:rPr>
                      <a:t>88%</a:t>
                    </a:r>
                  </a:p>
                </c:rich>
              </c:tx>
              <c:dLblPos val="ctr"/>
              <c:showLegendKey val="0"/>
              <c:showVal val="0"/>
              <c:showCatName val="0"/>
              <c:showSerName val="0"/>
              <c:showPercent val="0"/>
              <c:separator>
</c:separator>
            </c:dLbl>
            <c:dLbl>
              <c:idx val="1"/>
              <c:txPr>
                <a:bodyPr wrap="square"/>
                <a:lstStyle/>
                <a:p>
                  <a:pPr>
                    <a:defRPr b="0" sz="1000" spc="-1" strike="noStrike">
                      <a:solidFill>
                        <a:srgbClr val="000000"/>
                      </a:solidFill>
                      <a:latin typeface="Arial"/>
                    </a:defRPr>
                  </a:pPr>
                </a:p>
              </c:txPr>
              <c:tx>
                <c:rich>
                  <a:bodyPr/>
                  <a:p>
                    <a:r>
                      <a:rPr b="0" sz="1000" spc="-1" strike="noStrike">
                        <a:solidFill>
                          <a:srgbClr val="000000"/>
                        </a:solidFill>
                        <a:latin typeface="Arial"/>
                        <a:ea typeface="DejaVu Sans"/>
                      </a:rPr>
                      <a:t>12%</a:t>
                    </a:r>
                  </a:p>
                </c:rich>
              </c:tx>
              <c:dLblPos val="ctr"/>
              <c:showLegendKey val="0"/>
              <c:showVal val="0"/>
              <c:showCatName val="0"/>
              <c:showSerName val="0"/>
              <c:showPercent val="0"/>
              <c:separator>
</c:separator>
            </c:dLbl>
            <c:txPr>
              <a:bodyPr wrap="square"/>
              <a:lstStyle/>
              <a:p>
                <a:pPr>
                  <a:defRPr b="1" sz="1000" spc="-1" strike="noStrike">
                    <a:solidFill>
                      <a:srgbClr val="ffffff"/>
                    </a:solidFill>
                    <a:latin typeface="Calibri"/>
                    <a:ea typeface="DejaVu Sans"/>
                  </a:defRPr>
                </a:pPr>
              </a:p>
            </c:txPr>
            <c:dLblPos val="ctr"/>
            <c:showLegendKey val="0"/>
            <c:showVal val="0"/>
            <c:showCatName val="1"/>
            <c:showSerName val="0"/>
            <c:showPercent val="1"/>
            <c:separator>
</c:separator>
            <c:showLeaderLines val="0"/>
          </c:dLbls>
          <c:cat>
            <c:strRef>
              <c:f>categories</c:f>
              <c:strCache>
                <c:ptCount val="2"/>
                <c:pt idx="0">
                  <c:v>Буџетска средства општине Беочин</c:v>
                </c:pt>
                <c:pt idx="1">
                  <c:v>Екстерни извори</c:v>
                </c:pt>
              </c:strCache>
            </c:strRef>
          </c:cat>
          <c:val>
            <c:numRef>
              <c:f>0</c:f>
              <c:numCache>
                <c:formatCode>General</c:formatCode>
                <c:ptCount val="2"/>
                <c:pt idx="0">
                  <c:v>0.882000598981731</c:v>
                </c:pt>
                <c:pt idx="1">
                  <c:v>0.117999401018269</c:v>
                </c:pt>
              </c:numCache>
            </c:numRef>
          </c:val>
        </c:ser>
      </c:pie3DChart>
    </c:plotArea>
    <c:legend>
      <c:legendPos val="r"/>
      <c:overlay val="0"/>
      <c:spPr>
        <a:solidFill>
          <a:srgbClr val="f2f2f2">
            <a:alpha val="39000"/>
          </a:srgbClr>
        </a:solidFill>
        <a:ln w="0">
          <a:noFill/>
        </a:ln>
      </c:spPr>
      <c:txPr>
        <a:bodyPr/>
        <a:lstStyle/>
        <a:p>
          <a:pPr>
            <a:defRPr b="0" sz="900" spc="-1" strike="noStrike">
              <a:solidFill>
                <a:srgbClr val="404040"/>
              </a:solidFill>
              <a:latin typeface="Calibri"/>
              <a:ea typeface="DejaVu Sans"/>
            </a:defRPr>
          </a:pPr>
        </a:p>
      </c:txPr>
    </c:legend>
    <c:plotVisOnly val="1"/>
    <c:dispBlanksAs val="gap"/>
  </c:chart>
  <c:spPr>
    <a:gradFill>
      <a:gsLst>
        <a:gs pos="0">
          <a:srgbClr val="ffffff"/>
        </a:gs>
        <a:gs pos="100000">
          <a:srgbClr val="bfbfbf"/>
        </a:gs>
      </a:gsLst>
      <a:path path="circle">
        <a:fillToRect l="50000" t="0" r="50000" b="100000"/>
      </a:path>
    </a:gradFill>
    <a:ln w="9360">
      <a:solidFill>
        <a:srgbClr val="bfbfbf"/>
      </a:solidFill>
      <a:round/>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lang="sr-BA" sz="1400" spc="-1" strike="noStrike">
                <a:solidFill>
                  <a:srgbClr val="595959"/>
                </a:solidFill>
                <a:latin typeface="Calibri"/>
                <a:ea typeface="DejaVu Sans"/>
              </a:defRPr>
            </a:pPr>
            <a:r>
              <a:rPr b="0" lang="sr-BA" sz="1400" spc="-1" strike="noStrike">
                <a:solidFill>
                  <a:srgbClr val="595959"/>
                </a:solidFill>
                <a:latin typeface="Calibri"/>
                <a:ea typeface="DejaVu Sans"/>
              </a:rPr>
              <a:t>Процена трошкова за реализацију посебних циљева у Акционом плану по изворима финансирања</a:t>
            </a:r>
          </a:p>
        </c:rich>
      </c:tx>
      <c:overlay val="0"/>
      <c:spPr>
        <a:noFill/>
        <a:ln w="0">
          <a:noFill/>
        </a:ln>
      </c:spPr>
    </c:title>
    <c:autoTitleDeleted val="0"/>
    <c:plotArea>
      <c:barChart>
        <c:barDir val="bar"/>
        <c:grouping val="stacked"/>
        <c:varyColors val="0"/>
        <c:ser>
          <c:idx val="0"/>
          <c:order val="0"/>
          <c:tx>
            <c:strRef>
              <c:f>label 0</c:f>
              <c:strCache>
                <c:ptCount val="1"/>
                <c:pt idx="0">
                  <c:v>Буџетска средства општине Беочин</c:v>
                </c:pt>
              </c:strCache>
            </c:strRef>
          </c:tx>
          <c:spPr>
            <a:solidFill>
              <a:srgbClr val="4472c4"/>
            </a:solidFill>
            <a:ln w="0">
              <a:noFill/>
            </a:ln>
          </c:spPr>
          <c:invertIfNegative val="0"/>
          <c:dLbls>
            <c:txPr>
              <a:bodyPr wrap="square"/>
              <a:lstStyle/>
              <a:p>
                <a:pPr>
                  <a:defRPr b="0" sz="1000" spc="-1" strike="noStrike">
                    <a:solidFill>
                      <a:srgbClr val="000000"/>
                    </a:solidFill>
                    <a:latin typeface="Calibri"/>
                    <a:ea typeface="DejaVu Sans"/>
                  </a:defRPr>
                </a:pPr>
              </a:p>
            </c:txPr>
            <c:dLblPos val="ctr"/>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strRef>
              <c:f>categories</c:f>
              <c:strCache>
                <c:ptCount val="4"/>
                <c:pt idx="0">
                  <c:v>Посебни циљ 1.</c:v>
                </c:pt>
                <c:pt idx="1">
                  <c:v>Посебни циљ 2.</c:v>
                </c:pt>
                <c:pt idx="2">
                  <c:v>Посебни циљ 3.</c:v>
                </c:pt>
                <c:pt idx="3">
                  <c:v/>
                </c:pt>
              </c:strCache>
            </c:strRef>
          </c:cat>
          <c:val>
            <c:numRef>
              <c:f>0</c:f>
              <c:numCache>
                <c:formatCode>General</c:formatCode>
                <c:ptCount val="4"/>
                <c:pt idx="0">
                  <c:v>1400</c:v>
                </c:pt>
                <c:pt idx="1">
                  <c:v>42450</c:v>
                </c:pt>
                <c:pt idx="2">
                  <c:v>325</c:v>
                </c:pt>
              </c:numCache>
            </c:numRef>
          </c:val>
        </c:ser>
        <c:ser>
          <c:idx val="1"/>
          <c:order val="1"/>
          <c:tx>
            <c:strRef>
              <c:f>label 1</c:f>
              <c:strCache>
                <c:ptCount val="1"/>
                <c:pt idx="0">
                  <c:v>Екстерни извори</c:v>
                </c:pt>
              </c:strCache>
            </c:strRef>
          </c:tx>
          <c:spPr>
            <a:solidFill>
              <a:srgbClr val="92d050"/>
            </a:solidFill>
            <a:ln w="0">
              <a:noFill/>
            </a:ln>
          </c:spPr>
          <c:invertIfNegative val="0"/>
          <c:dLbls>
            <c:txPr>
              <a:bodyPr wrap="square"/>
              <a:lstStyle/>
              <a:p>
                <a:pPr>
                  <a:defRPr b="0" sz="1000" spc="-1" strike="noStrike">
                    <a:solidFill>
                      <a:srgbClr val="000000"/>
                    </a:solidFill>
                    <a:latin typeface="Calibri"/>
                    <a:ea typeface="DejaVu Sans"/>
                  </a:defRPr>
                </a:pPr>
              </a:p>
            </c:txPr>
            <c:dLblPos val="ctr"/>
            <c:showLegendKey val="0"/>
            <c:showVal val="0"/>
            <c:showCatName val="0"/>
            <c:showSerName val="0"/>
            <c:showPercent val="0"/>
            <c:separator>; </c:separator>
            <c:showLeaderLines val="0"/>
            <c:extLst>
              <c:ext xmlns:c15="http://schemas.microsoft.com/office/drawing/2012/chart" uri="{CE6537A1-D6FC-4f65-9D91-7224C49458BB}">
                <c15:showLeaderLines val="1"/>
              </c:ext>
            </c:extLst>
          </c:dLbls>
          <c:cat>
            <c:strRef>
              <c:f>categories</c:f>
              <c:strCache>
                <c:ptCount val="4"/>
                <c:pt idx="0">
                  <c:v>Посебни циљ 1.</c:v>
                </c:pt>
                <c:pt idx="1">
                  <c:v>Посебни циљ 2.</c:v>
                </c:pt>
                <c:pt idx="2">
                  <c:v>Посебни циљ 3.</c:v>
                </c:pt>
                <c:pt idx="3">
                  <c:v/>
                </c:pt>
              </c:strCache>
            </c:strRef>
          </c:cat>
          <c:val>
            <c:numRef>
              <c:f>1</c:f>
              <c:numCache>
                <c:formatCode>General</c:formatCode>
                <c:ptCount val="4"/>
                <c:pt idx="0">
                  <c:v>1210</c:v>
                </c:pt>
                <c:pt idx="1">
                  <c:v>4700</c:v>
                </c:pt>
                <c:pt idx="2">
                  <c:v>0</c:v>
                </c:pt>
              </c:numCache>
            </c:numRef>
          </c:val>
        </c:ser>
        <c:gapWidth val="150"/>
        <c:overlap val="100"/>
        <c:axId val="46126985"/>
        <c:axId val="26845575"/>
      </c:barChart>
      <c:catAx>
        <c:axId val="46126985"/>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b="0" sz="900" spc="-1" strike="noStrike">
                <a:solidFill>
                  <a:srgbClr val="595959"/>
                </a:solidFill>
                <a:latin typeface="Calibri"/>
                <a:ea typeface="DejaVu Sans"/>
              </a:defRPr>
            </a:pPr>
          </a:p>
        </c:txPr>
        <c:crossAx val="26845575"/>
        <c:crosses val="autoZero"/>
        <c:auto val="1"/>
        <c:lblAlgn val="ctr"/>
        <c:lblOffset val="100"/>
        <c:noMultiLvlLbl val="0"/>
      </c:catAx>
      <c:valAx>
        <c:axId val="26845575"/>
        <c:scaling>
          <c:orientation val="minMax"/>
        </c:scaling>
        <c:delete val="0"/>
        <c:axPos val="l"/>
        <c:majorGridlines>
          <c:spPr>
            <a:ln w="9360">
              <a:solidFill>
                <a:srgbClr val="d9d9d9"/>
              </a:solidFill>
              <a:round/>
            </a:ln>
          </c:spPr>
        </c:majorGridlines>
        <c:numFmt formatCode="#,##0" sourceLinked="0"/>
        <c:majorTickMark val="none"/>
        <c:minorTickMark val="none"/>
        <c:tickLblPos val="nextTo"/>
        <c:spPr>
          <a:ln w="6480">
            <a:noFill/>
          </a:ln>
        </c:spPr>
        <c:txPr>
          <a:bodyPr/>
          <a:lstStyle/>
          <a:p>
            <a:pPr>
              <a:defRPr b="0" sz="900" spc="-1" strike="noStrike">
                <a:solidFill>
                  <a:srgbClr val="595959"/>
                </a:solidFill>
                <a:latin typeface="Calibri"/>
                <a:ea typeface="DejaVu Sans"/>
              </a:defRPr>
            </a:pPr>
          </a:p>
        </c:txPr>
        <c:crossAx val="46126985"/>
        <c:crosses val="autoZero"/>
        <c:crossBetween val="between"/>
      </c:valAx>
      <c:spPr>
        <a:noFill/>
        <a:ln w="0">
          <a:noFill/>
        </a:ln>
      </c:spPr>
    </c:plotArea>
    <c:legend>
      <c:legendPos val="b"/>
      <c:overlay val="0"/>
      <c:spPr>
        <a:noFill/>
        <a:ln w="0">
          <a:noFill/>
        </a:ln>
      </c:spPr>
      <c:txPr>
        <a:bodyPr/>
        <a:lstStyle/>
        <a:p>
          <a:pPr>
            <a:defRPr b="0" sz="900" spc="-1" strike="noStrike">
              <a:solidFill>
                <a:srgbClr val="595959"/>
              </a:solidFill>
              <a:latin typeface="Calibri"/>
              <a:ea typeface="DejaVu Sans"/>
            </a:defRPr>
          </a:pPr>
        </a:p>
      </c:txPr>
    </c:legend>
    <c:plotVisOnly val="1"/>
    <c:dispBlanksAs val="gap"/>
  </c:chart>
  <c:spPr>
    <a:solidFill>
      <a:srgbClr val="ffffff"/>
    </a:solidFill>
    <a:ln w="9360">
      <a:solidFill>
        <a:srgbClr val="d9d9d9"/>
      </a:solidFill>
      <a:round/>
    </a:ln>
  </c:spPr>
  <c:externalData r:id="rId1"/>
</c:chartSpace>
</file>

<file path=word/theme/theme1.xml><?xml version="1.0" encoding="utf-8"?>
<a:theme xmlns:a="http://schemas.openxmlformats.org/drawingml/2006/main" xmlns:r="http://schemas.openxmlformats.org/officeDocument/2006/relationships"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18020D2B0C630478A3BDD49D686A818" ma:contentTypeVersion="15" ma:contentTypeDescription="Create a new document." ma:contentTypeScope="" ma:versionID="ad739a5710c4556d10a68d07dee99909">
  <xsd:schema xmlns:xsd="http://www.w3.org/2001/XMLSchema" xmlns:xs="http://www.w3.org/2001/XMLSchema" xmlns:p="http://schemas.microsoft.com/office/2006/metadata/properties" xmlns:ns2="bb8b9eca-b553-4fe9-a3d7-d1838b09508d" xmlns:ns3="3334fe79-8e4a-4749-9c2d-138e96082282" targetNamespace="http://schemas.microsoft.com/office/2006/metadata/properties" ma:root="true" ma:fieldsID="9ba1eb83c9918b9c37d957056abe257d" ns2:_="" ns3:_="">
    <xsd:import namespace="bb8b9eca-b553-4fe9-a3d7-d1838b09508d"/>
    <xsd:import namespace="3334fe79-8e4a-4749-9c2d-138e96082282"/>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8b9eca-b553-4fe9-a3d7-d1838b0950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5eb37d50-2a46-435d-99da-0464c82fad9a"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334fe79-8e4a-4749-9c2d-138e96082282"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e1a9b75-0190-4a38-9482-7d72c548bf41}" ma:internalName="TaxCatchAll" ma:showField="CatchAllData" ma:web="3334fe79-8e4a-4749-9c2d-138e96082282">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b8b9eca-b553-4fe9-a3d7-d1838b09508d">
      <Terms xmlns="http://schemas.microsoft.com/office/infopath/2007/PartnerControls"/>
    </lcf76f155ced4ddcb4097134ff3c332f>
    <TaxCatchAll xmlns="3334fe79-8e4a-4749-9c2d-138e9608228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03B286-C3B7-4D9F-A8C4-65A5CEE2D5C7}">
  <ds:schemaRefs>
    <ds:schemaRef ds:uri="http://schemas.microsoft.com/sharepoint/v3/contenttype/forms"/>
  </ds:schemaRefs>
</ds:datastoreItem>
</file>

<file path=customXml/itemProps2.xml><?xml version="1.0" encoding="utf-8"?>
<ds:datastoreItem xmlns:ds="http://schemas.openxmlformats.org/officeDocument/2006/customXml" ds:itemID="{DA21A359-4E03-470D-B56F-F7D675F97E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8b9eca-b553-4fe9-a3d7-d1838b09508d"/>
    <ds:schemaRef ds:uri="3334fe79-8e4a-4749-9c2d-138e960822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8908810-790D-4CE9-8E1F-C567FF97DAA2}">
  <ds:schemaRefs>
    <ds:schemaRef ds:uri="http://schemas.microsoft.com/office/2006/metadata/properties"/>
    <ds:schemaRef ds:uri="http://schemas.microsoft.com/office/infopath/2007/PartnerControls"/>
    <ds:schemaRef ds:uri="bb8b9eca-b553-4fe9-a3d7-d1838b09508d"/>
    <ds:schemaRef ds:uri="3334fe79-8e4a-4749-9c2d-138e96082282"/>
  </ds:schemaRefs>
</ds:datastoreItem>
</file>

<file path=customXml/itemProps4.xml><?xml version="1.0" encoding="utf-8"?>
<ds:datastoreItem xmlns:ds="http://schemas.openxmlformats.org/officeDocument/2006/customXml" ds:itemID="{E306CA82-43C1-46F0-82E5-8EB1506EA2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831</TotalTime>
  <Application>LibreOffice/7.0.6.2$Windows_X86_64 LibreOffice_project/144abb84a525d8e30c9dbbefa69cbbf2d8d4ae3b</Application>
  <AppVersion>15.0000</AppVersion>
  <Pages>65</Pages>
  <Words>24098</Words>
  <Characters>138005</Characters>
  <CharactersWithSpaces>159939</CharactersWithSpaces>
  <Paragraphs>2812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2025-01-27T12:02:00Z</dcterms:created>
  <dc:creator>Jovana Ilic</dc:creator>
  <dc:description/>
  <dc:language>sr-Latn-RS</dc:language>
  <cp:lastModifiedBy/>
  <cp:lastPrinted>2025-04-14T12:00:19Z</cp:lastPrinted>
  <dcterms:modified xsi:type="dcterms:W3CDTF">2025-05-23T10:37:13Z</dcterms:modified>
  <cp:revision>63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0x010100418020D2B0C630478A3BDD49D686A818</vt:lpwstr>
  </property>
  <property fmtid="{D5CDD505-2E9C-101B-9397-08002B2CF9AE}" pid="3" name="MediaServiceImageTags">
    <vt:lpwstr/>
  </property>
</Properties>
</file>