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6.xml" ContentType="application/vnd.openxmlformats-officedocument.wordprocessingml.footer+xml"/>
  <Override PartName="/word/media/image1.jpeg" ContentType="image/jpeg"/>
  <Override PartName="/word/styles.xml" ContentType="application/vnd.openxmlformats-officedocument.wordprocessingml.styles+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20" w:after="0"/>
        <w:jc w:val="center"/>
        <w:rPr>
          <w:sz w:val="40"/>
          <w:szCs w:val="40"/>
        </w:rPr>
      </w:pPr>
      <w:r>
        <w:rPr>
          <w:sz w:val="40"/>
          <w:szCs w:val="40"/>
        </w:rPr>
        <w:t>ОПШТИНА БЕОЧИН</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drawing>
          <wp:inline distT="0" distB="0" distL="0" distR="0">
            <wp:extent cx="2139950" cy="1873250"/>
            <wp:effectExtent l="0" t="0" r="0" b="0"/>
            <wp:docPr id="1" name="Picture 5"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A blue and white logo&#10;&#10;Description automatically generated"/>
                    <pic:cNvPicPr>
                      <a:picLocks noChangeAspect="1" noChangeArrowheads="1"/>
                    </pic:cNvPicPr>
                  </pic:nvPicPr>
                  <pic:blipFill>
                    <a:blip r:embed="rId2"/>
                    <a:stretch>
                      <a:fillRect/>
                    </a:stretch>
                  </pic:blipFill>
                  <pic:spPr bwMode="auto">
                    <a:xfrm>
                      <a:off x="0" y="0"/>
                      <a:ext cx="2139950" cy="1873250"/>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jc w:val="center"/>
        <w:rPr>
          <w:b/>
          <w:sz w:val="40"/>
          <w:szCs w:val="40"/>
          <w14:shadow w14:blurRad="50800" w14:dist="38100" w14:dir="2700000" w14:sx="100000" w14:sy="100000" w14:kx="0" w14:ky="0" w14:algn="tl">
            <w14:srgbClr w14:val="000000">
              <w14:alpha w14:val="60000"/>
            </w14:srgbClr>
          </w14:shadow>
        </w:rPr>
      </w:pPr>
      <w:r>
        <w:rPr>
          <w:b/>
          <w:sz w:val="40"/>
          <w:szCs w:val="40"/>
          <w14:shadow w14:blurRad="50800" w14:dist="38100" w14:dir="2700000" w14:sx="100000" w14:sy="100000" w14:kx="0" w14:ky="0" w14:algn="tl">
            <w14:srgbClr w14:val="000000">
              <w14:alpha w14:val="60000"/>
            </w14:srgbClr>
          </w14:shadow>
        </w:rPr>
        <w:t>ЛОКАЛНИ АКЦИОНИ ПЛАН ЗА СОЦИЈАЛНО УКЉУЧИВАЊЕ РОМА И РОМКИЊА У ОБЛАСТИ СТАНОВАЊА</w:t>
      </w:r>
    </w:p>
    <w:p>
      <w:pPr>
        <w:pStyle w:val="Normal"/>
        <w:jc w:val="center"/>
        <w:rPr>
          <w:b/>
          <w:sz w:val="40"/>
          <w:szCs w:val="40"/>
          <w14:shadow w14:blurRad="50800" w14:dist="38100" w14:dir="2700000" w14:sx="100000" w14:sy="100000" w14:kx="0" w14:ky="0" w14:algn="tl">
            <w14:srgbClr w14:val="000000">
              <w14:alpha w14:val="60000"/>
            </w14:srgbClr>
          </w14:shadow>
        </w:rPr>
      </w:pPr>
      <w:r>
        <w:rPr>
          <w:b/>
          <w:sz w:val="40"/>
          <w:szCs w:val="40"/>
          <w14:shadow w14:blurRad="50800" w14:dist="38100" w14:dir="2700000" w14:sx="100000" w14:sy="100000" w14:kx="0" w14:ky="0" w14:algn="tl">
            <w14:srgbClr w14:val="000000">
              <w14:alpha w14:val="60000"/>
            </w14:srgbClr>
          </w14:shadow>
        </w:rPr>
        <w:t>ОПШТИНИ БЕОЧИН</w:t>
      </w:r>
    </w:p>
    <w:p>
      <w:pPr>
        <w:pStyle w:val="Normal"/>
        <w:jc w:val="center"/>
        <w:rPr>
          <w:b/>
          <w:sz w:val="40"/>
          <w:szCs w:val="40"/>
          <w14:shadow w14:blurRad="50800" w14:dist="38100" w14:dir="2700000" w14:sx="100000" w14:sy="100000" w14:kx="0" w14:ky="0" w14:algn="tl">
            <w14:srgbClr w14:val="000000">
              <w14:alpha w14:val="60000"/>
            </w14:srgbClr>
          </w14:shadow>
        </w:rPr>
      </w:pPr>
      <w:r>
        <w:rPr>
          <w:b/>
          <w:sz w:val="40"/>
          <w:szCs w:val="40"/>
          <w14:shadow w14:blurRad="50800" w14:dist="38100" w14:dir="2700000" w14:sx="100000" w14:sy="100000" w14:kx="0" w14:ky="0" w14:algn="tl">
            <w14:srgbClr w14:val="000000">
              <w14:alpha w14:val="60000"/>
            </w14:srgbClr>
          </w14:shadow>
        </w:rPr>
        <w:t>ЗА ПЕРИОД 202</w:t>
      </w:r>
      <w:r>
        <w:rPr>
          <w:b/>
          <w:sz w:val="40"/>
          <w:szCs w:val="40"/>
          <w:lang w:val="en-US"/>
          <w14:shadow w14:blurRad="50800" w14:dist="38100" w14:dir="2700000" w14:sx="100000" w14:sy="100000" w14:kx="0" w14:ky="0" w14:algn="tl">
            <w14:srgbClr w14:val="000000">
              <w14:alpha w14:val="60000"/>
            </w14:srgbClr>
          </w14:shadow>
        </w:rPr>
        <w:t>5</w:t>
      </w:r>
      <w:r>
        <w:rPr>
          <w:b/>
          <w:sz w:val="40"/>
          <w:szCs w:val="40"/>
          <w14:shadow w14:blurRad="50800" w14:dist="38100" w14:dir="2700000" w14:sx="100000" w14:sy="100000" w14:kx="0" w14:ky="0" w14:algn="tl">
            <w14:srgbClr w14:val="000000">
              <w14:alpha w14:val="60000"/>
            </w14:srgbClr>
          </w14:shadow>
        </w:rPr>
        <w:t>–202</w:t>
      </w:r>
      <w:r>
        <w:rPr>
          <w:b/>
          <w:sz w:val="40"/>
          <w:szCs w:val="40"/>
          <w:lang w:val="en-US"/>
          <w14:shadow w14:blurRad="50800" w14:dist="38100" w14:dir="2700000" w14:sx="100000" w14:sy="100000" w14:kx="0" w14:ky="0" w14:algn="tl">
            <w14:srgbClr w14:val="000000">
              <w14:alpha w14:val="60000"/>
            </w14:srgbClr>
          </w14:shadow>
        </w:rPr>
        <w:t>7</w:t>
      </w:r>
      <w:r>
        <w:rPr>
          <w:b/>
          <w:sz w:val="40"/>
          <w:szCs w:val="40"/>
          <w14:shadow w14:blurRad="50800" w14:dist="38100" w14:dir="2700000" w14:sx="100000" w14:sy="100000" w14:kx="0" w14:ky="0" w14:algn="tl">
            <w14:srgbClr w14:val="000000">
              <w14:alpha w14:val="60000"/>
            </w14:srgbClr>
          </w14:shadow>
        </w:rPr>
        <w:t>. ГОДИНЕ</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11"/>
        <w:rPr/>
      </w:pPr>
      <w:r>
        <w:rPr/>
      </w:r>
    </w:p>
    <w:p>
      <w:pPr>
        <w:pStyle w:val="Normal"/>
        <w:rPr/>
      </w:pPr>
      <w:r>
        <w:rPr/>
      </w:r>
    </w:p>
    <w:p>
      <w:pPr>
        <w:pStyle w:val="Normal"/>
        <w:rPr/>
      </w:pPr>
      <w:r>
        <w:rPr/>
      </w:r>
    </w:p>
    <w:p>
      <w:pPr>
        <w:pStyle w:val="Normal"/>
        <w:rPr/>
      </w:pPr>
      <w:r>
        <w:rPr/>
      </w:r>
    </w:p>
    <w:p>
      <w:pPr>
        <w:pStyle w:val="11"/>
        <w:rPr/>
      </w:pPr>
      <w:r>
        <w:rPr/>
        <w:t>Беочин, 2024. године</w:t>
      </w:r>
    </w:p>
    <w:sdt>
      <w:sdtPr>
        <w:docPartObj>
          <w:docPartGallery w:val="Table of Contents"/>
          <w:docPartUnique w:val="true"/>
        </w:docPartObj>
      </w:sdtPr>
      <w:sdtContent>
        <w:p>
          <w:pPr>
            <w:pStyle w:val="Style16"/>
            <w:numPr>
              <w:ilvl w:val="0"/>
              <w:numId w:val="0"/>
            </w:numPr>
            <w:ind w:left="0" w:hanging="0"/>
            <w:rPr/>
          </w:pPr>
          <w:r>
            <w:rPr/>
            <w:t>САДРЖАЈ</w:t>
          </w:r>
        </w:p>
        <w:p>
          <w:pPr>
            <w:pStyle w:val="11"/>
            <w:rPr>
              <w:rFonts w:eastAsia="" w:cs="" w:cstheme="minorBidi" w:eastAsiaTheme="minorEastAsia"/>
              <w:b w:val="false"/>
              <w:iCs w:val="false"/>
              <w:lang w:val="en-US"/>
            </w:rPr>
          </w:pPr>
          <w:r>
            <w:fldChar w:fldCharType="begin"/>
          </w:r>
          <w:r>
            <w:rPr>
              <w:webHidden/>
              <w:rStyle w:val="Style9"/>
              <w:vanish w:val="false"/>
            </w:rPr>
            <w:instrText xml:space="preserve"> TOC \z \o "1-3" \u \h</w:instrText>
          </w:r>
          <w:r>
            <w:rPr>
              <w:webHidden/>
              <w:rStyle w:val="Style9"/>
              <w:vanish w:val="false"/>
            </w:rPr>
            <w:fldChar w:fldCharType="separate"/>
          </w:r>
          <w:hyperlink w:anchor="_Toc184550021">
            <w:r>
              <w:rPr>
                <w:webHidden/>
              </w:rPr>
              <w:fldChar w:fldCharType="begin"/>
            </w:r>
            <w:r>
              <w:rPr>
                <w:webHidden/>
              </w:rPr>
              <w:instrText xml:space="preserve">PAGEREF _Toc184550021 \h</w:instrText>
            </w:r>
            <w:r>
              <w:rPr>
                <w:webHidden/>
              </w:rPr>
              <w:fldChar w:fldCharType="separate"/>
            </w:r>
            <w:r>
              <w:rPr>
                <w:webHidden/>
                <w:rStyle w:val="Style9"/>
                <w:vanish w:val="false"/>
              </w:rPr>
              <w:t>ЛИСТА СКРАЋЕНИЦА</w:t>
              <w:tab/>
              <w:t>3</w:t>
            </w:r>
            <w:r>
              <w:rPr>
                <w:webHidden/>
              </w:rPr>
              <w:fldChar w:fldCharType="end"/>
            </w:r>
          </w:hyperlink>
        </w:p>
        <w:p>
          <w:pPr>
            <w:pStyle w:val="11"/>
            <w:rPr>
              <w:rFonts w:eastAsia="" w:cs="" w:cstheme="minorBidi" w:eastAsiaTheme="minorEastAsia"/>
              <w:b w:val="false"/>
              <w:iCs w:val="false"/>
              <w:lang w:val="en-US"/>
            </w:rPr>
          </w:pPr>
          <w:hyperlink w:anchor="_Toc184550022">
            <w:r>
              <w:rPr>
                <w:webHidden/>
                <w:rStyle w:val="Style9"/>
                <w:vanish w:val="false"/>
              </w:rPr>
              <w:t>1</w:t>
            </w:r>
            <w:r>
              <w:rPr>
                <w:rStyle w:val="Style9"/>
                <w:rFonts w:eastAsia="" w:cs="" w:cstheme="minorBidi" w:eastAsiaTheme="minorEastAsia"/>
                <w:b w:val="false"/>
                <w:iCs w:val="false"/>
                <w:lang w:val="en-US"/>
              </w:rPr>
              <w:tab/>
            </w:r>
            <w:r>
              <w:rPr>
                <w:rStyle w:val="Style9"/>
              </w:rPr>
              <w:t>УВОД</w:t>
            </w:r>
            <w:r>
              <w:rPr>
                <w:webHidden/>
              </w:rPr>
              <w:fldChar w:fldCharType="begin"/>
            </w:r>
            <w:r>
              <w:rPr>
                <w:webHidden/>
              </w:rPr>
              <w:instrText xml:space="preserve">PAGEREF _Toc184550022 \h</w:instrText>
            </w:r>
            <w:r>
              <w:rPr>
                <w:webHidden/>
              </w:rPr>
              <w:fldChar w:fldCharType="separate"/>
            </w:r>
            <w:r>
              <w:rPr>
                <w:rStyle w:val="Style9"/>
                <w:vanish w:val="false"/>
              </w:rPr>
              <w:tab/>
              <w:t>4</w:t>
            </w:r>
            <w:r>
              <w:rPr>
                <w:webHidden/>
              </w:rPr>
              <w:fldChar w:fldCharType="end"/>
            </w:r>
          </w:hyperlink>
        </w:p>
        <w:p>
          <w:pPr>
            <w:pStyle w:val="11"/>
            <w:rPr>
              <w:rFonts w:eastAsia="" w:cs="" w:cstheme="minorBidi" w:eastAsiaTheme="minorEastAsia"/>
              <w:b w:val="false"/>
              <w:iCs w:val="false"/>
              <w:lang w:val="en-US"/>
            </w:rPr>
          </w:pPr>
          <w:hyperlink w:anchor="_Toc184550023">
            <w:r>
              <w:rPr>
                <w:webHidden/>
                <w:rStyle w:val="Style9"/>
                <w:caps/>
                <w:vanish w:val="false"/>
              </w:rPr>
              <w:t>2</w:t>
            </w:r>
            <w:r>
              <w:rPr>
                <w:rStyle w:val="Style9"/>
                <w:rFonts w:eastAsia="" w:cs="" w:cstheme="minorBidi" w:eastAsiaTheme="minorEastAsia"/>
                <w:b w:val="false"/>
                <w:iCs w:val="false"/>
                <w:lang w:val="en-US"/>
              </w:rPr>
              <w:tab/>
            </w:r>
            <w:r>
              <w:rPr>
                <w:rStyle w:val="Style9"/>
                <w:caps/>
              </w:rPr>
              <w:t>Стратешки и институционални оквир на локалном нивоу</w:t>
            </w:r>
            <w:r>
              <w:rPr>
                <w:webHidden/>
              </w:rPr>
              <w:fldChar w:fldCharType="begin"/>
            </w:r>
            <w:r>
              <w:rPr>
                <w:webHidden/>
              </w:rPr>
              <w:instrText xml:space="preserve">PAGEREF _Toc184550023 \h</w:instrText>
            </w:r>
            <w:r>
              <w:rPr>
                <w:webHidden/>
              </w:rPr>
              <w:fldChar w:fldCharType="separate"/>
            </w:r>
            <w:r>
              <w:rPr>
                <w:rStyle w:val="Style9"/>
                <w:vanish w:val="false"/>
              </w:rPr>
              <w:tab/>
              <w:t>6</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24">
            <w:r>
              <w:rPr>
                <w:webHidden/>
                <w:rStyle w:val="Style9"/>
                <w:rFonts w:eastAsia="" w:eastAsiaTheme="majorEastAsia"/>
                <w:vanish w:val="false"/>
              </w:rPr>
              <w:t>2.1</w:t>
            </w:r>
            <w:r>
              <w:rPr>
                <w:rStyle w:val="Style9"/>
                <w:rFonts w:eastAsia="" w:cs="" w:cstheme="minorBidi" w:eastAsiaTheme="minorEastAsia"/>
                <w:lang w:val="en-US"/>
              </w:rPr>
              <w:tab/>
            </w:r>
            <w:r>
              <w:rPr>
                <w:rStyle w:val="Style9"/>
                <w:rFonts w:eastAsia="" w:eastAsiaTheme="majorEastAsia"/>
              </w:rPr>
              <w:t>Локалне стратегије</w:t>
            </w:r>
            <w:r>
              <w:rPr>
                <w:webHidden/>
              </w:rPr>
              <w:fldChar w:fldCharType="begin"/>
            </w:r>
            <w:r>
              <w:rPr>
                <w:webHidden/>
              </w:rPr>
              <w:instrText xml:space="preserve">PAGEREF _Toc184550024 \h</w:instrText>
            </w:r>
            <w:r>
              <w:rPr>
                <w:webHidden/>
              </w:rPr>
              <w:fldChar w:fldCharType="separate"/>
            </w:r>
            <w:r>
              <w:rPr>
                <w:rStyle w:val="Style9"/>
                <w:vanish w:val="false"/>
              </w:rPr>
              <w:tab/>
              <w:t>7</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25">
            <w:r>
              <w:rPr>
                <w:webHidden/>
                <w:rStyle w:val="Style9"/>
                <w:rFonts w:eastAsia="" w:eastAsiaTheme="majorEastAsia"/>
                <w:vanish w:val="false"/>
              </w:rPr>
              <w:t>2.2</w:t>
            </w:r>
            <w:r>
              <w:rPr>
                <w:rStyle w:val="Style9"/>
                <w:rFonts w:eastAsia="" w:cs="" w:cstheme="minorBidi" w:eastAsiaTheme="minorEastAsia"/>
                <w:lang w:val="en-US"/>
              </w:rPr>
              <w:tab/>
            </w:r>
            <w:r>
              <w:rPr>
                <w:rStyle w:val="Style9"/>
                <w:rFonts w:eastAsia="" w:eastAsiaTheme="majorEastAsia"/>
              </w:rPr>
              <w:t>Институционални оквир на локалном нивоу</w:t>
            </w:r>
            <w:r>
              <w:rPr>
                <w:webHidden/>
              </w:rPr>
              <w:fldChar w:fldCharType="begin"/>
            </w:r>
            <w:r>
              <w:rPr>
                <w:webHidden/>
              </w:rPr>
              <w:instrText xml:space="preserve">PAGEREF _Toc184550025 \h</w:instrText>
            </w:r>
            <w:r>
              <w:rPr>
                <w:webHidden/>
              </w:rPr>
              <w:fldChar w:fldCharType="separate"/>
            </w:r>
            <w:r>
              <w:rPr>
                <w:rStyle w:val="Style9"/>
                <w:vanish w:val="false"/>
              </w:rPr>
              <w:tab/>
              <w:t>7</w:t>
            </w:r>
            <w:r>
              <w:rPr>
                <w:webHidden/>
              </w:rPr>
              <w:fldChar w:fldCharType="end"/>
            </w:r>
          </w:hyperlink>
        </w:p>
        <w:p>
          <w:pPr>
            <w:pStyle w:val="11"/>
            <w:rPr>
              <w:rFonts w:eastAsia="" w:cs="" w:cstheme="minorBidi" w:eastAsiaTheme="minorEastAsia"/>
              <w:b w:val="false"/>
              <w:iCs w:val="false"/>
              <w:lang w:val="en-US"/>
            </w:rPr>
          </w:pPr>
          <w:hyperlink w:anchor="_Toc184550026">
            <w:r>
              <w:rPr>
                <w:webHidden/>
                <w:rStyle w:val="Style9"/>
                <w:caps/>
                <w:vanish w:val="false"/>
              </w:rPr>
              <w:t>3</w:t>
            </w:r>
            <w:r>
              <w:rPr>
                <w:rStyle w:val="Style9"/>
                <w:rFonts w:eastAsia="" w:cs="" w:cstheme="minorBidi" w:eastAsiaTheme="minorEastAsia"/>
                <w:b w:val="false"/>
                <w:iCs w:val="false"/>
                <w:lang w:val="en-US"/>
              </w:rPr>
              <w:tab/>
            </w:r>
            <w:r>
              <w:rPr>
                <w:rStyle w:val="Style9"/>
                <w:caps/>
              </w:rPr>
              <w:t>Општи подаци о општини/граду</w:t>
            </w:r>
            <w:r>
              <w:rPr>
                <w:webHidden/>
              </w:rPr>
              <w:fldChar w:fldCharType="begin"/>
            </w:r>
            <w:r>
              <w:rPr>
                <w:webHidden/>
              </w:rPr>
              <w:instrText xml:space="preserve">PAGEREF _Toc184550026 \h</w:instrText>
            </w:r>
            <w:r>
              <w:rPr>
                <w:webHidden/>
              </w:rPr>
              <w:fldChar w:fldCharType="separate"/>
            </w:r>
            <w:r>
              <w:rPr>
                <w:rStyle w:val="Style9"/>
                <w:vanish w:val="false"/>
              </w:rPr>
              <w:tab/>
              <w:t>11</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27">
            <w:r>
              <w:rPr>
                <w:webHidden/>
                <w:rStyle w:val="Style9"/>
                <w:rFonts w:eastAsia="" w:eastAsiaTheme="majorEastAsia"/>
                <w:vanish w:val="false"/>
              </w:rPr>
              <w:t>3.1</w:t>
            </w:r>
            <w:r>
              <w:rPr>
                <w:rStyle w:val="Style9"/>
                <w:rFonts w:eastAsia="" w:cs="" w:cstheme="minorBidi" w:eastAsiaTheme="minorEastAsia"/>
                <w:lang w:val="en-US"/>
              </w:rPr>
              <w:tab/>
            </w:r>
            <w:r>
              <w:rPr>
                <w:rStyle w:val="Style9"/>
                <w:rFonts w:eastAsia="" w:eastAsiaTheme="majorEastAsia"/>
              </w:rPr>
              <w:t>Географски подаци</w:t>
            </w:r>
            <w:r>
              <w:rPr>
                <w:webHidden/>
              </w:rPr>
              <w:fldChar w:fldCharType="begin"/>
            </w:r>
            <w:r>
              <w:rPr>
                <w:webHidden/>
              </w:rPr>
              <w:instrText xml:space="preserve">PAGEREF _Toc184550027 \h</w:instrText>
            </w:r>
            <w:r>
              <w:rPr>
                <w:webHidden/>
              </w:rPr>
              <w:fldChar w:fldCharType="separate"/>
            </w:r>
            <w:r>
              <w:rPr>
                <w:rStyle w:val="Style9"/>
                <w:vanish w:val="false"/>
              </w:rPr>
              <w:tab/>
              <w:t>12</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28">
            <w:r>
              <w:rPr>
                <w:webHidden/>
                <w:rStyle w:val="Style9"/>
                <w:rFonts w:eastAsia="" w:eastAsiaTheme="majorEastAsia"/>
                <w:vanish w:val="false"/>
              </w:rPr>
              <w:t>3.2</w:t>
            </w:r>
            <w:r>
              <w:rPr>
                <w:rStyle w:val="Style9"/>
                <w:rFonts w:eastAsia="" w:cs="" w:cstheme="minorBidi" w:eastAsiaTheme="minorEastAsia"/>
                <w:lang w:val="en-US"/>
              </w:rPr>
              <w:tab/>
            </w:r>
            <w:r>
              <w:rPr>
                <w:rStyle w:val="Style9"/>
                <w:rFonts w:eastAsia="" w:eastAsiaTheme="majorEastAsia"/>
              </w:rPr>
              <w:t>Историјски подаци</w:t>
            </w:r>
            <w:r>
              <w:rPr>
                <w:webHidden/>
              </w:rPr>
              <w:fldChar w:fldCharType="begin"/>
            </w:r>
            <w:r>
              <w:rPr>
                <w:webHidden/>
              </w:rPr>
              <w:instrText xml:space="preserve">PAGEREF _Toc184550028 \h</w:instrText>
            </w:r>
            <w:r>
              <w:rPr>
                <w:webHidden/>
              </w:rPr>
              <w:fldChar w:fldCharType="separate"/>
            </w:r>
            <w:r>
              <w:rPr>
                <w:rStyle w:val="Style9"/>
                <w:vanish w:val="false"/>
              </w:rPr>
              <w:tab/>
              <w:t>13</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29">
            <w:r>
              <w:rPr>
                <w:webHidden/>
                <w:rStyle w:val="Style9"/>
                <w:rFonts w:eastAsia="" w:eastAsiaTheme="majorEastAsia"/>
                <w:vanish w:val="false"/>
              </w:rPr>
              <w:t>3.3</w:t>
            </w:r>
            <w:r>
              <w:rPr>
                <w:rStyle w:val="Style9"/>
                <w:rFonts w:eastAsia="" w:cs="" w:cstheme="minorBidi" w:eastAsiaTheme="minorEastAsia"/>
                <w:lang w:val="en-US"/>
              </w:rPr>
              <w:tab/>
            </w:r>
            <w:r>
              <w:rPr>
                <w:rStyle w:val="Style9"/>
                <w:rFonts w:eastAsia="" w:eastAsiaTheme="majorEastAsia"/>
              </w:rPr>
              <w:t>Инфраструктурни подаци</w:t>
            </w:r>
            <w:r>
              <w:rPr>
                <w:webHidden/>
              </w:rPr>
              <w:fldChar w:fldCharType="begin"/>
            </w:r>
            <w:r>
              <w:rPr>
                <w:webHidden/>
              </w:rPr>
              <w:instrText xml:space="preserve">PAGEREF _Toc184550029 \h</w:instrText>
            </w:r>
            <w:r>
              <w:rPr>
                <w:webHidden/>
              </w:rPr>
              <w:fldChar w:fldCharType="separate"/>
            </w:r>
            <w:r>
              <w:rPr>
                <w:rStyle w:val="Style9"/>
                <w:vanish w:val="false"/>
              </w:rPr>
              <w:tab/>
              <w:t>13</w:t>
            </w:r>
            <w:r>
              <w:rPr>
                <w:webHidden/>
              </w:rPr>
              <w:fldChar w:fldCharType="end"/>
            </w:r>
          </w:hyperlink>
        </w:p>
        <w:p>
          <w:pPr>
            <w:pStyle w:val="31"/>
            <w:tabs>
              <w:tab w:val="clear" w:pos="720"/>
              <w:tab w:val="right" w:pos="9350" w:leader="underscore"/>
            </w:tabs>
            <w:rPr>
              <w:rFonts w:eastAsia="" w:cs="" w:cstheme="minorBidi" w:eastAsiaTheme="minorEastAsia"/>
              <w:lang w:val="en-US"/>
            </w:rPr>
          </w:pPr>
          <w:hyperlink w:anchor="_Toc184550030">
            <w:r>
              <w:rPr>
                <w:webHidden/>
                <w:rStyle w:val="Style9"/>
                <w:rFonts w:eastAsia="" w:eastAsiaTheme="majorEastAsia"/>
                <w:vanish w:val="false"/>
                <w:lang w:val="ru-RU"/>
              </w:rPr>
              <w:t xml:space="preserve">3.3.2 </w:t>
            </w:r>
            <w:r>
              <w:rPr>
                <w:rStyle w:val="Style9"/>
                <w:rFonts w:eastAsia="" w:eastAsiaTheme="majorEastAsia"/>
                <w:i/>
                <w:iCs/>
              </w:rPr>
              <w:t>Гасоводна мрежа</w:t>
            </w:r>
            <w:r>
              <w:rPr>
                <w:webHidden/>
              </w:rPr>
              <w:fldChar w:fldCharType="begin"/>
            </w:r>
            <w:r>
              <w:rPr>
                <w:webHidden/>
              </w:rPr>
              <w:instrText xml:space="preserve">PAGEREF _Toc184550030 \h</w:instrText>
            </w:r>
            <w:r>
              <w:rPr>
                <w:webHidden/>
              </w:rPr>
              <w:fldChar w:fldCharType="separate"/>
            </w:r>
            <w:r>
              <w:rPr>
                <w:rStyle w:val="Style9"/>
                <w:vanish w:val="false"/>
              </w:rPr>
              <w:tab/>
              <w:t>13</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31">
            <w:r>
              <w:rPr>
                <w:webHidden/>
                <w:rStyle w:val="Style9"/>
                <w:rFonts w:eastAsia="" w:eastAsiaTheme="majorEastAsia"/>
                <w:vanish w:val="false"/>
              </w:rPr>
              <w:t>3.4</w:t>
            </w:r>
            <w:r>
              <w:rPr>
                <w:rStyle w:val="Style9"/>
                <w:rFonts w:eastAsia="" w:cs="" w:cstheme="minorBidi" w:eastAsiaTheme="minorEastAsia"/>
                <w:lang w:val="en-US"/>
              </w:rPr>
              <w:tab/>
            </w:r>
            <w:r>
              <w:rPr>
                <w:rStyle w:val="Style9"/>
                <w:rFonts w:eastAsia="" w:eastAsiaTheme="majorEastAsia"/>
              </w:rPr>
              <w:t>Општи подаци о Ромима</w:t>
            </w:r>
            <w:r>
              <w:rPr>
                <w:webHidden/>
              </w:rPr>
              <w:fldChar w:fldCharType="begin"/>
            </w:r>
            <w:r>
              <w:rPr>
                <w:webHidden/>
              </w:rPr>
              <w:instrText xml:space="preserve">PAGEREF _Toc184550031 \h</w:instrText>
            </w:r>
            <w:r>
              <w:rPr>
                <w:webHidden/>
              </w:rPr>
              <w:fldChar w:fldCharType="separate"/>
            </w:r>
            <w:r>
              <w:rPr>
                <w:rStyle w:val="Style9"/>
                <w:vanish w:val="false"/>
              </w:rPr>
              <w:tab/>
              <w:t>16</w:t>
            </w:r>
            <w:r>
              <w:rPr>
                <w:webHidden/>
              </w:rPr>
              <w:fldChar w:fldCharType="end"/>
            </w:r>
          </w:hyperlink>
        </w:p>
        <w:p>
          <w:pPr>
            <w:pStyle w:val="31"/>
            <w:tabs>
              <w:tab w:val="clear" w:pos="720"/>
              <w:tab w:val="left" w:pos="1320" w:leader="none"/>
              <w:tab w:val="right" w:pos="9350" w:leader="underscore"/>
            </w:tabs>
            <w:rPr>
              <w:rFonts w:eastAsia="" w:cs="" w:cstheme="minorBidi" w:eastAsiaTheme="minorEastAsia"/>
              <w:lang w:val="en-US"/>
            </w:rPr>
          </w:pPr>
          <w:hyperlink w:anchor="_Toc184550032">
            <w:r>
              <w:rPr>
                <w:webHidden/>
                <w:rStyle w:val="Style9"/>
                <w:rFonts w:eastAsia="" w:eastAsiaTheme="majorEastAsia"/>
                <w:vanish w:val="false"/>
              </w:rPr>
              <w:t>3.4.1</w:t>
            </w:r>
            <w:r>
              <w:rPr>
                <w:rStyle w:val="Style9"/>
                <w:rFonts w:eastAsia="" w:cs="" w:cstheme="minorBidi" w:eastAsiaTheme="minorEastAsia"/>
                <w:lang w:val="en-US"/>
              </w:rPr>
              <w:tab/>
            </w:r>
            <w:r>
              <w:rPr>
                <w:rStyle w:val="Style9"/>
                <w:rFonts w:eastAsia="" w:eastAsiaTheme="majorEastAsia"/>
              </w:rPr>
              <w:t>Становање</w:t>
            </w:r>
            <w:r>
              <w:rPr>
                <w:webHidden/>
              </w:rPr>
              <w:fldChar w:fldCharType="begin"/>
            </w:r>
            <w:r>
              <w:rPr>
                <w:webHidden/>
              </w:rPr>
              <w:instrText xml:space="preserve">PAGEREF _Toc184550032 \h</w:instrText>
            </w:r>
            <w:r>
              <w:rPr>
                <w:webHidden/>
              </w:rPr>
              <w:fldChar w:fldCharType="separate"/>
            </w:r>
            <w:r>
              <w:rPr>
                <w:rStyle w:val="Style9"/>
                <w:vanish w:val="false"/>
              </w:rPr>
              <w:tab/>
              <w:t>17</w:t>
            </w:r>
            <w:r>
              <w:rPr>
                <w:webHidden/>
              </w:rPr>
              <w:fldChar w:fldCharType="end"/>
            </w:r>
          </w:hyperlink>
        </w:p>
        <w:p>
          <w:pPr>
            <w:pStyle w:val="11"/>
            <w:rPr>
              <w:rFonts w:eastAsia="" w:cs="" w:cstheme="minorBidi" w:eastAsiaTheme="minorEastAsia"/>
              <w:b w:val="false"/>
              <w:iCs w:val="false"/>
              <w:lang w:val="en-US"/>
            </w:rPr>
          </w:pPr>
          <w:hyperlink w:anchor="_Toc184550033">
            <w:r>
              <w:rPr>
                <w:webHidden/>
                <w:rStyle w:val="Style9"/>
                <w:vanish w:val="false"/>
              </w:rPr>
              <w:t>4</w:t>
            </w:r>
            <w:r>
              <w:rPr>
                <w:rStyle w:val="Style9"/>
                <w:rFonts w:eastAsia="" w:cs="" w:cstheme="minorBidi" w:eastAsiaTheme="minorEastAsia"/>
                <w:b w:val="false"/>
                <w:iCs w:val="false"/>
                <w:lang w:val="en-US"/>
              </w:rPr>
              <w:tab/>
            </w:r>
            <w:r>
              <w:rPr>
                <w:rStyle w:val="Style9"/>
                <w:i/>
              </w:rPr>
              <w:t>SWOT</w:t>
            </w:r>
            <w:r>
              <w:rPr>
                <w:rStyle w:val="Style9"/>
              </w:rPr>
              <w:t xml:space="preserve"> анализа</w:t>
            </w:r>
            <w:r>
              <w:rPr>
                <w:webHidden/>
              </w:rPr>
              <w:fldChar w:fldCharType="begin"/>
            </w:r>
            <w:r>
              <w:rPr>
                <w:webHidden/>
              </w:rPr>
              <w:instrText xml:space="preserve">PAGEREF _Toc184550033 \h</w:instrText>
            </w:r>
            <w:r>
              <w:rPr>
                <w:webHidden/>
              </w:rPr>
              <w:fldChar w:fldCharType="separate"/>
            </w:r>
            <w:r>
              <w:rPr>
                <w:rStyle w:val="Style9"/>
                <w:vanish w:val="false"/>
              </w:rPr>
              <w:tab/>
              <w:t>22</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34">
            <w:r>
              <w:rPr>
                <w:webHidden/>
                <w:rStyle w:val="Style9"/>
                <w:rFonts w:eastAsia="" w:eastAsiaTheme="majorEastAsia"/>
                <w:vanish w:val="false"/>
              </w:rPr>
              <w:t>4.1</w:t>
            </w:r>
            <w:r>
              <w:rPr>
                <w:rStyle w:val="Style9"/>
                <w:rFonts w:eastAsia="" w:cs="" w:cstheme="minorBidi" w:eastAsiaTheme="minorEastAsia"/>
                <w:lang w:val="en-US"/>
              </w:rPr>
              <w:tab/>
            </w:r>
            <w:r>
              <w:rPr>
                <w:rStyle w:val="Style9"/>
                <w:rFonts w:eastAsia="" w:eastAsiaTheme="majorEastAsia"/>
              </w:rPr>
              <w:t>Становање</w:t>
            </w:r>
            <w:r>
              <w:rPr>
                <w:webHidden/>
              </w:rPr>
              <w:fldChar w:fldCharType="begin"/>
            </w:r>
            <w:r>
              <w:rPr>
                <w:webHidden/>
              </w:rPr>
              <w:instrText xml:space="preserve">PAGEREF _Toc184550034 \h</w:instrText>
            </w:r>
            <w:r>
              <w:rPr>
                <w:webHidden/>
              </w:rPr>
              <w:fldChar w:fldCharType="separate"/>
            </w:r>
            <w:r>
              <w:rPr>
                <w:rStyle w:val="Style9"/>
                <w:vanish w:val="false"/>
              </w:rPr>
              <w:tab/>
              <w:t>23</w:t>
            </w:r>
            <w:r>
              <w:rPr>
                <w:webHidden/>
              </w:rPr>
              <w:fldChar w:fldCharType="end"/>
            </w:r>
          </w:hyperlink>
        </w:p>
        <w:p>
          <w:pPr>
            <w:pStyle w:val="11"/>
            <w:rPr>
              <w:rFonts w:eastAsia="" w:cs="" w:cstheme="minorBidi" w:eastAsiaTheme="minorEastAsia"/>
              <w:b w:val="false"/>
              <w:iCs w:val="false"/>
              <w:lang w:val="en-US"/>
            </w:rPr>
          </w:pPr>
          <w:hyperlink w:anchor="_Toc184550035">
            <w:r>
              <w:rPr>
                <w:webHidden/>
                <w:rStyle w:val="Style9"/>
                <w:vanish w:val="false"/>
              </w:rPr>
              <w:t>5</w:t>
            </w:r>
            <w:r>
              <w:rPr>
                <w:rStyle w:val="Style9"/>
                <w:rFonts w:eastAsia="" w:cs="" w:cstheme="minorBidi" w:eastAsiaTheme="minorEastAsia"/>
                <w:b w:val="false"/>
                <w:iCs w:val="false"/>
                <w:lang w:val="en-US"/>
              </w:rPr>
              <w:tab/>
            </w:r>
            <w:r>
              <w:rPr>
                <w:rStyle w:val="Style9"/>
              </w:rPr>
              <w:t>ЦИЉЕВИ И МЕРЕ</w:t>
            </w:r>
            <w:r>
              <w:rPr>
                <w:webHidden/>
              </w:rPr>
              <w:fldChar w:fldCharType="begin"/>
            </w:r>
            <w:r>
              <w:rPr>
                <w:webHidden/>
              </w:rPr>
              <w:instrText xml:space="preserve">PAGEREF _Toc184550035 \h</w:instrText>
            </w:r>
            <w:r>
              <w:rPr>
                <w:webHidden/>
              </w:rPr>
              <w:fldChar w:fldCharType="separate"/>
            </w:r>
            <w:r>
              <w:rPr>
                <w:rStyle w:val="Style9"/>
                <w:vanish w:val="false"/>
              </w:rPr>
              <w:tab/>
              <w:t>26</w:t>
            </w:r>
            <w:r>
              <w:rPr>
                <w:webHidden/>
              </w:rPr>
              <w:fldChar w:fldCharType="end"/>
            </w:r>
          </w:hyperlink>
        </w:p>
        <w:p>
          <w:pPr>
            <w:pStyle w:val="11"/>
            <w:rPr>
              <w:rFonts w:eastAsia="" w:cs="" w:cstheme="minorBidi" w:eastAsiaTheme="minorEastAsia"/>
              <w:b w:val="false"/>
              <w:iCs w:val="false"/>
              <w:lang w:val="en-US"/>
            </w:rPr>
          </w:pPr>
          <w:hyperlink w:anchor="_Toc184550036">
            <w:r>
              <w:rPr>
                <w:webHidden/>
                <w:rStyle w:val="Style9"/>
                <w:vanish w:val="false"/>
              </w:rPr>
              <w:t>6</w:t>
            </w:r>
            <w:r>
              <w:rPr>
                <w:rStyle w:val="Style9"/>
                <w:rFonts w:eastAsia="" w:cs="" w:cstheme="minorBidi" w:eastAsiaTheme="minorEastAsia"/>
                <w:b w:val="false"/>
                <w:iCs w:val="false"/>
                <w:lang w:val="en-US"/>
              </w:rPr>
              <w:tab/>
            </w:r>
            <w:r>
              <w:rPr>
                <w:rStyle w:val="Style9"/>
              </w:rPr>
              <w:t>АКЦИОНИ ПЛАН</w:t>
            </w:r>
            <w:r>
              <w:rPr>
                <w:webHidden/>
              </w:rPr>
              <w:fldChar w:fldCharType="begin"/>
            </w:r>
            <w:r>
              <w:rPr>
                <w:webHidden/>
              </w:rPr>
              <w:instrText xml:space="preserve">PAGEREF _Toc184550036 \h</w:instrText>
            </w:r>
            <w:r>
              <w:rPr>
                <w:webHidden/>
              </w:rPr>
              <w:fldChar w:fldCharType="separate"/>
            </w:r>
            <w:r>
              <w:rPr>
                <w:rStyle w:val="Style9"/>
                <w:vanish w:val="false"/>
              </w:rPr>
              <w:tab/>
              <w:t>27</w:t>
            </w:r>
            <w:r>
              <w:rPr>
                <w:webHidden/>
              </w:rPr>
              <w:fldChar w:fldCharType="end"/>
            </w:r>
          </w:hyperlink>
        </w:p>
        <w:p>
          <w:pPr>
            <w:pStyle w:val="11"/>
            <w:rPr>
              <w:rFonts w:eastAsia="" w:cs="" w:cstheme="minorBidi" w:eastAsiaTheme="minorEastAsia"/>
              <w:b w:val="false"/>
              <w:iCs w:val="false"/>
              <w:lang w:val="en-US"/>
            </w:rPr>
          </w:pPr>
          <w:hyperlink w:anchor="_Toc184550037">
            <w:r>
              <w:rPr>
                <w:webHidden/>
                <w:rStyle w:val="Style9"/>
                <w:vanish w:val="false"/>
              </w:rPr>
              <w:t>7</w:t>
            </w:r>
            <w:r>
              <w:rPr>
                <w:rStyle w:val="Style9"/>
                <w:rFonts w:eastAsia="" w:cs="" w:cstheme="minorBidi" w:eastAsiaTheme="minorEastAsia"/>
                <w:b w:val="false"/>
                <w:iCs w:val="false"/>
                <w:lang w:val="en-US"/>
              </w:rPr>
              <w:tab/>
            </w:r>
            <w:r>
              <w:rPr>
                <w:rStyle w:val="Style9"/>
              </w:rPr>
              <w:t>ОКВИР ПРОГРАМСКОГ БУЏЕТА ЗА СПРОВОЂЕЊЕ АКЦИОНОГ ПЛАНА</w:t>
            </w:r>
            <w:r>
              <w:rPr>
                <w:webHidden/>
              </w:rPr>
              <w:fldChar w:fldCharType="begin"/>
            </w:r>
            <w:r>
              <w:rPr>
                <w:webHidden/>
              </w:rPr>
              <w:instrText xml:space="preserve">PAGEREF _Toc184550037 \h</w:instrText>
            </w:r>
            <w:r>
              <w:rPr>
                <w:webHidden/>
              </w:rPr>
              <w:fldChar w:fldCharType="separate"/>
            </w:r>
            <w:r>
              <w:rPr>
                <w:rStyle w:val="Style9"/>
                <w:vanish w:val="false"/>
              </w:rPr>
              <w:tab/>
              <w:t>34</w:t>
            </w:r>
            <w:r>
              <w:rPr>
                <w:webHidden/>
              </w:rPr>
              <w:fldChar w:fldCharType="end"/>
            </w:r>
          </w:hyperlink>
        </w:p>
        <w:p>
          <w:pPr>
            <w:pStyle w:val="11"/>
            <w:rPr>
              <w:rFonts w:eastAsia="" w:cs="" w:cstheme="minorBidi" w:eastAsiaTheme="minorEastAsia"/>
              <w:b w:val="false"/>
              <w:iCs w:val="false"/>
              <w:lang w:val="en-US"/>
            </w:rPr>
          </w:pPr>
          <w:hyperlink w:anchor="_Toc184550038">
            <w:r>
              <w:rPr>
                <w:webHidden/>
                <w:rStyle w:val="Style9"/>
                <w:vanish w:val="false"/>
              </w:rPr>
              <w:t>8</w:t>
            </w:r>
            <w:r>
              <w:rPr>
                <w:rStyle w:val="Style9"/>
                <w:rFonts w:eastAsia="" w:cs="" w:cstheme="minorBidi" w:eastAsiaTheme="minorEastAsia"/>
                <w:b w:val="false"/>
                <w:iCs w:val="false"/>
                <w:lang w:val="en-US"/>
              </w:rPr>
              <w:tab/>
            </w:r>
            <w:r>
              <w:rPr>
                <w:rStyle w:val="Style9"/>
              </w:rPr>
              <w:t>ОКВИР ЗА ПРАЋЕЊЕ СПРОВОЂЕЊА, ВРЕДНОВАЊЕ УЧИНАКА И ИЗВЕШТАВАЊЕ</w:t>
            </w:r>
            <w:r>
              <w:rPr>
                <w:webHidden/>
              </w:rPr>
              <w:fldChar w:fldCharType="begin"/>
            </w:r>
            <w:r>
              <w:rPr>
                <w:webHidden/>
              </w:rPr>
              <w:instrText xml:space="preserve">PAGEREF _Toc184550038 \h</w:instrText>
            </w:r>
            <w:r>
              <w:rPr>
                <w:webHidden/>
              </w:rPr>
              <w:fldChar w:fldCharType="separate"/>
            </w:r>
            <w:r>
              <w:rPr>
                <w:rStyle w:val="Style9"/>
                <w:vanish w:val="false"/>
              </w:rPr>
              <w:tab/>
              <w:t>42</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39">
            <w:r>
              <w:rPr>
                <w:webHidden/>
                <w:rStyle w:val="Style9"/>
                <w:rFonts w:eastAsia="" w:eastAsiaTheme="majorEastAsia"/>
                <w:vanish w:val="false"/>
              </w:rPr>
              <w:t>8.1</w:t>
            </w:r>
            <w:r>
              <w:rPr>
                <w:rStyle w:val="Style9"/>
                <w:rFonts w:eastAsia="" w:cs="" w:cstheme="minorBidi" w:eastAsiaTheme="minorEastAsia"/>
                <w:lang w:val="en-US"/>
              </w:rPr>
              <w:tab/>
            </w:r>
            <w:r>
              <w:rPr>
                <w:rStyle w:val="Style9"/>
                <w:rFonts w:eastAsia="" w:eastAsiaTheme="majorEastAsia"/>
              </w:rPr>
              <w:t>Поступак спровођења и одговорност актера</w:t>
            </w:r>
            <w:r>
              <w:rPr>
                <w:webHidden/>
              </w:rPr>
              <w:fldChar w:fldCharType="begin"/>
            </w:r>
            <w:r>
              <w:rPr>
                <w:webHidden/>
              </w:rPr>
              <w:instrText xml:space="preserve">PAGEREF _Toc184550039 \h</w:instrText>
            </w:r>
            <w:r>
              <w:rPr>
                <w:webHidden/>
              </w:rPr>
              <w:fldChar w:fldCharType="separate"/>
            </w:r>
            <w:r>
              <w:rPr>
                <w:rStyle w:val="Style9"/>
                <w:vanish w:val="false"/>
              </w:rPr>
              <w:tab/>
              <w:t>42</w:t>
            </w:r>
            <w:r>
              <w:rPr>
                <w:webHidden/>
              </w:rPr>
              <w:fldChar w:fldCharType="end"/>
            </w:r>
          </w:hyperlink>
        </w:p>
        <w:p>
          <w:pPr>
            <w:pStyle w:val="21"/>
            <w:tabs>
              <w:tab w:val="clear" w:pos="720"/>
              <w:tab w:val="left" w:pos="880" w:leader="none"/>
              <w:tab w:val="right" w:pos="9350" w:leader="underscore"/>
            </w:tabs>
            <w:rPr>
              <w:rFonts w:eastAsia="" w:cs="" w:cstheme="minorBidi" w:eastAsiaTheme="minorEastAsia"/>
              <w:lang w:val="en-US"/>
            </w:rPr>
          </w:pPr>
          <w:hyperlink w:anchor="_Toc184550040">
            <w:r>
              <w:rPr>
                <w:webHidden/>
                <w:rStyle w:val="Style9"/>
                <w:rFonts w:eastAsia="" w:eastAsiaTheme="majorEastAsia"/>
                <w:vanish w:val="false"/>
              </w:rPr>
              <w:t>8.2</w:t>
            </w:r>
            <w:r>
              <w:rPr>
                <w:rStyle w:val="Style9"/>
                <w:rFonts w:eastAsia="" w:cs="" w:cstheme="minorBidi" w:eastAsiaTheme="minorEastAsia"/>
                <w:lang w:val="en-US"/>
              </w:rPr>
              <w:tab/>
            </w:r>
            <w:r>
              <w:rPr>
                <w:rStyle w:val="Style9"/>
                <w:rFonts w:eastAsia="" w:eastAsiaTheme="majorEastAsia"/>
              </w:rPr>
              <w:t>Вредновање учинка и извештавање</w:t>
            </w:r>
            <w:r>
              <w:rPr>
                <w:webHidden/>
              </w:rPr>
              <w:fldChar w:fldCharType="begin"/>
            </w:r>
            <w:r>
              <w:rPr>
                <w:webHidden/>
              </w:rPr>
              <w:instrText xml:space="preserve">PAGEREF _Toc184550040 \h</w:instrText>
            </w:r>
            <w:r>
              <w:rPr>
                <w:webHidden/>
              </w:rPr>
              <w:fldChar w:fldCharType="separate"/>
            </w:r>
            <w:r>
              <w:rPr>
                <w:rStyle w:val="Style9"/>
                <w:vanish w:val="false"/>
              </w:rPr>
              <w:tab/>
              <w:t>43</w:t>
            </w:r>
            <w:r>
              <w:rPr>
                <w:webHidden/>
              </w:rPr>
              <w:fldChar w:fldCharType="end"/>
            </w:r>
          </w:hyperlink>
        </w:p>
        <w:p>
          <w:pPr>
            <w:pStyle w:val="11"/>
            <w:rPr>
              <w:rFonts w:eastAsia="" w:cs="" w:cstheme="minorBidi" w:eastAsiaTheme="minorEastAsia"/>
              <w:b w:val="false"/>
              <w:iCs w:val="false"/>
              <w:lang w:val="en-US"/>
            </w:rPr>
          </w:pPr>
          <w:hyperlink w:anchor="_Toc184550041">
            <w:r>
              <w:rPr>
                <w:webHidden/>
                <w:rStyle w:val="Style9"/>
                <w:vanish w:val="false"/>
              </w:rPr>
              <w:t>9</w:t>
            </w:r>
            <w:r>
              <w:rPr>
                <w:rStyle w:val="Style9"/>
                <w:rFonts w:eastAsia="" w:cs="" w:cstheme="minorBidi" w:eastAsiaTheme="minorEastAsia"/>
                <w:b w:val="false"/>
                <w:iCs w:val="false"/>
                <w:lang w:val="en-US"/>
              </w:rPr>
              <w:tab/>
            </w:r>
            <w:r>
              <w:rPr>
                <w:rStyle w:val="Style9"/>
              </w:rPr>
              <w:t>ПРИЛОЗИ</w:t>
            </w:r>
            <w:r>
              <w:rPr>
                <w:webHidden/>
              </w:rPr>
              <w:fldChar w:fldCharType="begin"/>
            </w:r>
            <w:r>
              <w:rPr>
                <w:webHidden/>
              </w:rPr>
              <w:instrText xml:space="preserve">PAGEREF _Toc184550041 \h</w:instrText>
            </w:r>
            <w:r>
              <w:rPr>
                <w:webHidden/>
              </w:rPr>
              <w:fldChar w:fldCharType="separate"/>
            </w:r>
            <w:r>
              <w:rPr>
                <w:rStyle w:val="Style9"/>
                <w:vanish w:val="false"/>
              </w:rPr>
              <w:tab/>
              <w:t>45</w:t>
            </w:r>
            <w:r>
              <w:rPr>
                <w:webHidden/>
              </w:rPr>
              <w:fldChar w:fldCharType="end"/>
            </w:r>
          </w:hyperlink>
        </w:p>
        <w:p>
          <w:pPr>
            <w:pStyle w:val="Normal"/>
            <w:rPr/>
          </w:pPr>
          <w:r>
            <w:rPr/>
          </w:r>
          <w:r>
            <w:rPr/>
            <w:fldChar w:fldCharType="end"/>
          </w:r>
        </w:p>
      </w:sdtContent>
    </w:sdt>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r>
        <w:br w:type="page"/>
      </w:r>
    </w:p>
    <w:p>
      <w:pPr>
        <w:pStyle w:val="1"/>
        <w:numPr>
          <w:ilvl w:val="0"/>
          <w:numId w:val="0"/>
        </w:numPr>
        <w:spacing w:before="0" w:after="0"/>
        <w:ind w:left="0" w:hanging="0"/>
        <w:rPr/>
      </w:pPr>
      <w:bookmarkStart w:id="0" w:name="_Toc184550021"/>
      <w:r>
        <w:rPr/>
        <w:t>ЛИСТА СКРАЋЕНИЦА</w:t>
      </w:r>
      <w:bookmarkEnd w:id="0"/>
    </w:p>
    <w:p>
      <w:pPr>
        <w:pStyle w:val="Normal"/>
        <w:rPr/>
      </w:pPr>
      <w:r>
        <w:rPr/>
      </w:r>
    </w:p>
    <w:tbl>
      <w:tblPr>
        <w:tblW w:w="9576"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1548"/>
        <w:gridCol w:w="8027"/>
      </w:tblGrid>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ДЗ</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Дом здравља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ЕУ</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Европска унија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ЈЛС</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Јединица локалне самоуправе</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ЛАП</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Локални акциони план за социјално укључивање Рома и Ромкиња општине Беочин</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Мобилни тим</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Мобилна јединица за социјално укључивање Рома и Ромкиња на локалном нивоу</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НВО</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Невладина организација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НСЗ</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Национална служба за запошљавање</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НСП</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Новчана социјална помоћ</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ОШ</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Основна школа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РС</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Република Србија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РТ</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Радно тело за израду ЛАП-а за социјално укључивање Рома и Ромкиња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РРА</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Регионална развојна агенција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Стратегија</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Стратегија за социјално укључивање Рома и Ромкиња у Републици Србији за период од 2022. до 2030. године</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СШ</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Средња школа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ЦЗСР</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Центар за социјални рад</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ПУ</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Предшколска установа</w:t>
            </w:r>
          </w:p>
        </w:tc>
      </w:tr>
      <w:tr>
        <w:trPr>
          <w:trHeight w:val="1" w:hRule="atLeast"/>
        </w:trPr>
        <w:tc>
          <w:tcPr>
            <w:tcW w:w="1548"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ПВО</w:t>
            </w:r>
          </w:p>
        </w:tc>
        <w:tc>
          <w:tcPr>
            <w:tcW w:w="8027"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60" w:after="60"/>
              <w:rPr>
                <w:rFonts w:cs="Times New Roman"/>
                <w:sz w:val="24"/>
                <w:szCs w:val="24"/>
              </w:rPr>
            </w:pPr>
            <w:r>
              <w:rPr>
                <w:rFonts w:cs="Times New Roman"/>
                <w:sz w:val="24"/>
                <w:szCs w:val="24"/>
              </w:rPr>
              <w:t>Предшколско васпитање и образовање</w:t>
            </w:r>
          </w:p>
        </w:tc>
      </w:tr>
    </w:tbl>
    <w:p>
      <w:pPr>
        <w:pStyle w:val="1"/>
        <w:numPr>
          <w:ilvl w:val="0"/>
          <w:numId w:val="0"/>
        </w:numPr>
        <w:ind w:left="0" w:hanging="0"/>
        <w:rPr/>
      </w:pPr>
      <w:r>
        <w:rPr/>
      </w:r>
      <w:r>
        <w:br w:type="page"/>
      </w:r>
    </w:p>
    <w:p>
      <w:pPr>
        <w:pStyle w:val="1"/>
        <w:spacing w:before="0" w:after="0"/>
        <w:rPr/>
      </w:pPr>
      <w:bookmarkStart w:id="1" w:name="_Toc184550022"/>
      <w:r>
        <w:rPr/>
        <w:t>УВОД</w:t>
      </w:r>
      <w:bookmarkEnd w:id="1"/>
    </w:p>
    <w:p>
      <w:pPr>
        <w:pStyle w:val="Normal"/>
        <w:rPr/>
      </w:pPr>
      <w:r>
        <w:rPr/>
      </w:r>
    </w:p>
    <w:p>
      <w:pPr>
        <w:pStyle w:val="Normal"/>
        <w:rPr/>
      </w:pPr>
      <w:r>
        <w:rPr/>
        <w:t xml:space="preserve">Локални акциони план за социјално укључивање Рома и Ромкиња у области становања у  општини Беочин  за период </w:t>
      </w:r>
      <w:r>
        <w:rPr>
          <w:color w:val="000000"/>
        </w:rPr>
        <w:t>од 202</w:t>
      </w:r>
      <w:r>
        <w:rPr>
          <w:color w:val="000000"/>
          <w:lang w:val="en-US"/>
        </w:rPr>
        <w:t>5</w:t>
      </w:r>
      <w:r>
        <w:rPr>
          <w:color w:val="000000"/>
        </w:rPr>
        <w:t>. до 202</w:t>
      </w:r>
      <w:r>
        <w:rPr>
          <w:color w:val="000000"/>
          <w:lang w:val="en-US"/>
        </w:rPr>
        <w:t>7</w:t>
      </w:r>
      <w:r>
        <w:rPr>
          <w:color w:val="000000"/>
        </w:rPr>
        <w:t>. године</w:t>
      </w:r>
      <w:r>
        <w:rPr/>
        <w:t xml:space="preserve"> (у даљем тексту: ЛАП) дефинише правце деловања Општине Беочин   у области становања Рома и Ромкиња, као и конкретне мере и активности којима се настоји побољшати садашњи положај припадника ромске заједнице, уз јасне механизме помоћу којих се може пратити остваривање дефинисаних циљева. Он представља део напора које локална заједница чини током низа година са основним циљем смањења јаза који постоји између Рома и Ромкиња и осталих припадника локалне заједнице.</w:t>
      </w:r>
    </w:p>
    <w:p>
      <w:pPr>
        <w:pStyle w:val="Normal"/>
        <w:rPr/>
      </w:pPr>
      <w:r>
        <w:rPr/>
        <w:t>ЛАП почива на анализи релевантних националних стратешких докумената, локалних података и процени потреба ромске популације на подручју општине Беочин. Израђен је кроз широк партиципативни и партнерски приступ који ће бити примењен и у процесу његове реализације, праћења и извештавања. Општина Беочин намерава да у реализацију дефинисаних циљева и активности укључи све релевантне актере из локалне заједнице, као и да на реализацији овог плана сарађује са републичким органима,покраинским и међународним институцијама и донаторима који се баве социјалним укључивањем Рома и Ромкиња. Реално је за очекивати да овакав концепт постави основ за оптималан квалитет резултата који се очекују реализацијом планираних активности и мера, на којима ће све заинтересоване стране и релевантни партнери радити у континуитету у наредном периоду.</w:t>
      </w:r>
    </w:p>
    <w:p>
      <w:pPr>
        <w:pStyle w:val="Normal"/>
        <w:ind w:hanging="2"/>
        <w:rPr>
          <w:highlight w:val="yellow"/>
        </w:rPr>
      </w:pPr>
      <w:r>
        <w:rPr/>
        <w:t xml:space="preserve">Израда овог ЛАП-а реализована је у оквиру Јавног конкурса за доделу беспровратних средстава градовима и општинама са теритоприје АП Војводина </w:t>
      </w:r>
      <w:r>
        <w:rPr>
          <w:rFonts w:cs="Calibri"/>
        </w:rPr>
        <w:t>као подршка програму израде и усвајања ЛАП-ова за Роме у области становања на територији АП Војводине.</w:t>
        <w:br/>
      </w:r>
      <w:r>
        <w:rPr/>
        <w:t>Општина Беочин је аплицирала на јавни позив и одабрана је за добијање менторске и саветодавне подршке од стране АП Војводине у процесу израде ЛАП-а, кроз организовање и спровођење радионица за израду ЛАП-а, и експертску подршку у области планирања, буџетирања и побољшања услова становања Рома и Ромкиња у општини Беочин.</w:t>
      </w:r>
    </w:p>
    <w:p>
      <w:pPr>
        <w:pStyle w:val="Normal"/>
        <w:rPr/>
      </w:pPr>
      <w:r>
        <w:rPr/>
        <w:t xml:space="preserve">Лап је израдила Радна група за израду ЛАП-а, уз стручну помоћ ангажованих експерата , чланови радне групе који су учествовали у изради ЛАП-а су: </w:t>
      </w:r>
    </w:p>
    <w:p>
      <w:pPr>
        <w:pStyle w:val="Normal"/>
        <w:rPr/>
      </w:pPr>
      <w:r>
        <w:rPr/>
        <w:t>Координатор радне групе:</w:t>
      </w:r>
    </w:p>
    <w:p>
      <w:pPr>
        <w:pStyle w:val="ListParagraph"/>
        <w:numPr>
          <w:ilvl w:val="0"/>
          <w:numId w:val="3"/>
        </w:numPr>
        <w:rPr/>
      </w:pPr>
      <w:r>
        <w:rPr>
          <w:b/>
          <w:bCs/>
        </w:rPr>
        <w:t>Исмет Адемовски</w:t>
      </w:r>
      <w:r>
        <w:rPr/>
        <w:t>, координатор радне групе, запослен у Општинској управи општине Беочин;</w:t>
      </w:r>
    </w:p>
    <w:p>
      <w:pPr>
        <w:pStyle w:val="Normal"/>
        <w:rPr/>
      </w:pPr>
      <w:r>
        <w:rPr/>
        <w:t>Чланови радне групе:</w:t>
      </w:r>
    </w:p>
    <w:p>
      <w:pPr>
        <w:pStyle w:val="Normal"/>
        <w:rPr>
          <w:b/>
          <w:bCs/>
        </w:rPr>
      </w:pPr>
      <w:r>
        <w:rPr>
          <w:b/>
          <w:bCs/>
        </w:rPr>
        <w:t xml:space="preserve">2. Весна Поповић - </w:t>
      </w:r>
      <w:r>
        <w:rPr/>
        <w:t>за заменика председника Комисије,</w:t>
      </w:r>
    </w:p>
    <w:p>
      <w:pPr>
        <w:pStyle w:val="Normal"/>
        <w:rPr>
          <w:b/>
          <w:bCs/>
        </w:rPr>
      </w:pPr>
      <w:r>
        <w:rPr>
          <w:b/>
          <w:bCs/>
        </w:rPr>
        <w:t xml:space="preserve">3. Рада Матић – </w:t>
      </w:r>
      <w:r>
        <w:rPr/>
        <w:t>за члана Комисије,</w:t>
      </w:r>
    </w:p>
    <w:p>
      <w:pPr>
        <w:pStyle w:val="Normal"/>
        <w:rPr>
          <w:b/>
          <w:bCs/>
        </w:rPr>
      </w:pPr>
      <w:r>
        <w:rPr>
          <w:b/>
          <w:bCs/>
        </w:rPr>
        <w:t xml:space="preserve">4. Драган Глигорић – </w:t>
      </w:r>
      <w:r>
        <w:rPr/>
        <w:t>за члана Комисије,</w:t>
      </w:r>
    </w:p>
    <w:p>
      <w:pPr>
        <w:pStyle w:val="Normal"/>
        <w:rPr>
          <w:b/>
          <w:bCs/>
        </w:rPr>
      </w:pPr>
      <w:r>
        <w:rPr>
          <w:b/>
          <w:bCs/>
        </w:rPr>
        <w:t xml:space="preserve">5. Феруз Дрмаку – </w:t>
      </w:r>
      <w:r>
        <w:rPr/>
        <w:t>за члана Комисије,</w:t>
      </w:r>
    </w:p>
    <w:p>
      <w:pPr>
        <w:pStyle w:val="Normal"/>
        <w:rPr>
          <w:b/>
          <w:bCs/>
        </w:rPr>
      </w:pPr>
      <w:r>
        <w:rPr>
          <w:b/>
          <w:bCs/>
        </w:rPr>
        <w:t xml:space="preserve">6. Сабина Греколи – </w:t>
      </w:r>
      <w:r>
        <w:rPr/>
        <w:t>за члана Комисије,</w:t>
      </w:r>
    </w:p>
    <w:p>
      <w:pPr>
        <w:pStyle w:val="Normal"/>
        <w:rPr>
          <w:b/>
          <w:bCs/>
        </w:rPr>
      </w:pPr>
      <w:r>
        <w:rPr>
          <w:b/>
          <w:bCs/>
        </w:rPr>
        <w:t xml:space="preserve">7. Весна Бочковић – </w:t>
      </w:r>
      <w:r>
        <w:rPr/>
        <w:t>за члана Комисије.</w:t>
      </w:r>
    </w:p>
    <w:p>
      <w:pPr>
        <w:pStyle w:val="Normal"/>
        <w:rPr>
          <w:highlight w:val="yellow"/>
        </w:rPr>
      </w:pPr>
      <w:r>
        <w:rPr>
          <w:highlight w:val="yellow"/>
        </w:rPr>
      </w:r>
    </w:p>
    <w:p>
      <w:pPr>
        <w:pStyle w:val="Normal"/>
        <w:rPr/>
      </w:pPr>
      <w:r>
        <w:rPr/>
        <w:t xml:space="preserve">Током израде овог документа спроведени су следећи кораци: припремљена је ситуациона анализа са </w:t>
      </w:r>
      <w:r>
        <w:rPr>
          <w:i/>
          <w:iCs/>
        </w:rPr>
        <w:t>SWOT</w:t>
      </w:r>
      <w:r>
        <w:rPr/>
        <w:t xml:space="preserve"> анализама за пет области- становања, утврђени су општи циљ и посебни циљеви за области становања ; идентификоване су мере и активности које доприносе остварењу дефинисаних циљева и за сваку од активности утврђени су и носилац и партнери, временски оквир, потребна финансијска средства по изворима, циљ, индикатори са базним и циљним вредностима и извори верификације. </w:t>
      </w:r>
    </w:p>
    <w:p>
      <w:pPr>
        <w:pStyle w:val="Normal"/>
        <w:rPr>
          <w:highlight w:val="magenta"/>
        </w:rPr>
      </w:pPr>
      <w:r>
        <w:rPr>
          <w:highlight w:val="magenta"/>
        </w:rPr>
        <w:t xml:space="preserve"> </w:t>
      </w:r>
    </w:p>
    <w:p>
      <w:pPr>
        <w:pStyle w:val="Normal"/>
        <w:rPr/>
      </w:pPr>
      <w:r>
        <w:rPr/>
        <w:t>Одржани су следећи састанци, радионице и догађаји:</w:t>
      </w:r>
    </w:p>
    <w:p>
      <w:pPr>
        <w:pStyle w:val="ListParagraph"/>
        <w:numPr>
          <w:ilvl w:val="0"/>
          <w:numId w:val="4"/>
        </w:numPr>
        <w:rPr/>
      </w:pPr>
      <w:r>
        <w:rPr>
          <w:u w:val="single"/>
        </w:rPr>
        <w:t>Уводна једнодневна радионица</w:t>
      </w:r>
      <w:r>
        <w:rPr/>
        <w:t xml:space="preserve"> – одржана је 2</w:t>
      </w:r>
      <w:r>
        <w:rPr>
          <w:lang w:val="en-US"/>
        </w:rPr>
        <w:t>2</w:t>
      </w:r>
      <w:r>
        <w:rPr/>
        <w:t>. новембра 2024. године, током које је усаглашена методологија за израду ЛАП-а и договорен временски оквир и план активности.</w:t>
      </w:r>
    </w:p>
    <w:p>
      <w:pPr>
        <w:pStyle w:val="ListParagraph"/>
        <w:numPr>
          <w:ilvl w:val="0"/>
          <w:numId w:val="4"/>
        </w:numPr>
        <w:rPr/>
      </w:pPr>
      <w:r>
        <w:rPr>
          <w:u w:val="single"/>
        </w:rPr>
        <w:t xml:space="preserve">Радионица за развој ситуационе анализе </w:t>
      </w:r>
      <w:r>
        <w:rPr/>
        <w:t>– одржана је 02. децембра 2024. године, током које су урађене су анализирани прикупљени подаци за пет области: становање, образовање, запошљавање, здравље и социјална заштита.</w:t>
      </w:r>
    </w:p>
    <w:p>
      <w:pPr>
        <w:pStyle w:val="ListParagraph"/>
        <w:numPr>
          <w:ilvl w:val="0"/>
          <w:numId w:val="4"/>
        </w:numPr>
        <w:rPr/>
      </w:pPr>
      <w:r>
        <w:rPr>
          <w:u w:val="single"/>
        </w:rPr>
        <w:t>Радионица за развој SWOT анализе</w:t>
      </w:r>
      <w:r>
        <w:rPr/>
        <w:t xml:space="preserve"> - одржана је 02. децембра 2024. године. На овој радионици урађене су SWOT анализе за пет области: становања и идентификоване приоритетне области за решавање.</w:t>
      </w:r>
    </w:p>
    <w:p>
      <w:pPr>
        <w:pStyle w:val="ListParagraph"/>
        <w:numPr>
          <w:ilvl w:val="0"/>
          <w:numId w:val="4"/>
        </w:numPr>
        <w:rPr/>
      </w:pPr>
      <w:r>
        <w:rPr>
          <w:u w:val="single"/>
        </w:rPr>
        <w:t>Радионица за дефинисање општег циља, посебног циља и мера</w:t>
      </w:r>
      <w:r>
        <w:rPr/>
        <w:t xml:space="preserve"> – одржана је 03. децембра 2024. године и на њој су дефинисани предлози циљева и мера.</w:t>
      </w:r>
    </w:p>
    <w:p>
      <w:pPr>
        <w:pStyle w:val="ListParagraph"/>
        <w:numPr>
          <w:ilvl w:val="0"/>
          <w:numId w:val="4"/>
        </w:numPr>
        <w:spacing w:lineRule="auto" w:line="276" w:before="0" w:after="60"/>
        <w:contextualSpacing/>
        <w:rPr/>
      </w:pPr>
      <w:r>
        <w:rPr>
          <w:u w:val="single"/>
        </w:rPr>
        <w:t>Фокус група са представницима ромске заједнице</w:t>
      </w:r>
      <w:r>
        <w:rPr/>
        <w:t xml:space="preserve"> - одржана је 6. децембра 2024. године. Представницима ромске заједнице представљени су предложени пројекти и активности које је дефинисала радна група у  области становања, а потом су прикупљени  коментари и предлози за њихову дораду, као и предлози за нове пројекте и активности</w:t>
      </w:r>
    </w:p>
    <w:p>
      <w:pPr>
        <w:pStyle w:val="ListParagraph"/>
        <w:numPr>
          <w:ilvl w:val="0"/>
          <w:numId w:val="4"/>
        </w:numPr>
        <w:spacing w:lineRule="auto" w:line="276" w:before="0" w:after="60"/>
        <w:contextualSpacing/>
        <w:rPr/>
      </w:pPr>
      <w:r>
        <w:rPr>
          <w:u w:val="single"/>
        </w:rPr>
        <w:t>Радионица за израду предлога нацрта ЛАП-а</w:t>
      </w:r>
      <w:r>
        <w:rPr/>
        <w:t xml:space="preserve"> одржана је 09. децембра 2024. године. На овој радионици идентификовани су пројекти и активности за претходно дефинисане мере, а за сваку активност/пројекат утврђени су: носилац и партнери, временски оквир, потребна финансијска средства по изворима финансирања, циљ пројекта/активности, индикатори са базним и циљним вредностима и извор верификације</w:t>
      </w:r>
    </w:p>
    <w:p>
      <w:pPr>
        <w:pStyle w:val="ListParagraph"/>
        <w:numPr>
          <w:ilvl w:val="0"/>
          <w:numId w:val="4"/>
        </w:numPr>
        <w:rPr>
          <w:highlight w:val="yellow"/>
        </w:rPr>
      </w:pPr>
      <w:r>
        <w:rPr>
          <w:highlight w:val="yellow"/>
          <w:u w:val="single"/>
        </w:rPr>
        <w:t>Јавни увид,</w:t>
      </w:r>
      <w:r>
        <w:rPr>
          <w:highlight w:val="yellow"/>
        </w:rPr>
        <w:t xml:space="preserve"> на којем је јавности представљен предлог финалног нацрта Локалног акционог плана за социјално укључивање Рома и Ромкиња у области становања општине Беочин за период 2025–2027. године одржан је у периоду  од   до .  2024. године.</w:t>
      </w:r>
    </w:p>
    <w:p>
      <w:pPr>
        <w:pStyle w:val="Normal"/>
        <w:rPr>
          <w:highlight w:val="yellow"/>
        </w:rPr>
      </w:pPr>
      <w:r>
        <w:rPr>
          <w:highlight w:val="yellow"/>
        </w:rPr>
        <w:t xml:space="preserve"> </w:t>
      </w:r>
    </w:p>
    <w:p>
      <w:pPr>
        <w:pStyle w:val="Normal"/>
        <w:rPr/>
      </w:pPr>
      <w:r>
        <w:rPr>
          <w:highlight w:val="yellow"/>
        </w:rPr>
        <w:t>Локални акциони план за социјално укључивање Рома и Ромкиња општине Беочин за период 2025-2027. године усвојен је од стране Скупштине општине Беочин</w:t>
      </w:r>
      <w:r>
        <w:rPr>
          <w:color w:val="FF0000"/>
          <w:highlight w:val="yellow"/>
        </w:rPr>
        <w:t>…………….</w:t>
      </w:r>
    </w:p>
    <w:p>
      <w:pPr>
        <w:pStyle w:val="Normal"/>
        <w:rPr/>
      </w:pPr>
      <w:r>
        <w:rPr/>
      </w:r>
    </w:p>
    <w:p>
      <w:pPr>
        <w:pStyle w:val="Normal"/>
        <w:rPr/>
      </w:pPr>
      <w:r>
        <w:rPr/>
      </w:r>
    </w:p>
    <w:p>
      <w:pPr>
        <w:pStyle w:val="Normal"/>
        <w:rPr/>
      </w:pPr>
      <w:r>
        <w:rPr/>
      </w:r>
    </w:p>
    <w:p>
      <w:pPr>
        <w:pStyle w:val="Normal"/>
        <w:rPr>
          <w:i/>
          <w:i/>
        </w:rPr>
      </w:pPr>
      <w:r>
        <w:rPr>
          <w:i/>
        </w:rPr>
      </w:r>
    </w:p>
    <w:p>
      <w:pPr>
        <w:pStyle w:val="Normal"/>
        <w:rPr>
          <w:i/>
          <w:i/>
        </w:rPr>
      </w:pPr>
      <w:r>
        <w:rPr>
          <w:i/>
        </w:rPr>
      </w:r>
    </w:p>
    <w:p>
      <w:pPr>
        <w:pStyle w:val="Normal"/>
        <w:rPr/>
      </w:pPr>
      <w:r>
        <w:rPr/>
      </w:r>
      <w:r>
        <w:br w:type="page"/>
      </w:r>
    </w:p>
    <w:p>
      <w:pPr>
        <w:pStyle w:val="1"/>
        <w:spacing w:before="0" w:after="0"/>
        <w:rPr>
          <w:caps/>
        </w:rPr>
      </w:pPr>
      <w:bookmarkStart w:id="2" w:name="_Toc184550023"/>
      <w:r>
        <w:rPr>
          <w:caps/>
        </w:rPr>
        <w:t>Стратешки и институционални оквир на локалном нивоу</w:t>
      </w:r>
      <w:bookmarkEnd w:id="2"/>
    </w:p>
    <w:p>
      <w:pPr>
        <w:pStyle w:val="Normal"/>
        <w:rPr/>
      </w:pPr>
      <w:r>
        <w:rPr/>
        <w:t xml:space="preserve"> </w:t>
      </w:r>
      <w:r>
        <w:rPr/>
        <w:t>Стратегија за социјално укључивање Рома и Ромкиња у Републици Србији за период од 2022. до 2030. године  је усвојена 3.  фебруара 2022 године , као документ ревидиране претходне Стратегије за унапређивање положаја Рома 2016–2025 године.</w:t>
      </w:r>
    </w:p>
    <w:p>
      <w:pPr>
        <w:pStyle w:val="Normal"/>
        <w:rPr/>
      </w:pPr>
      <w:r>
        <w:rPr/>
        <w:t>Република Србија је донела Закон о планском систему 2018. године, којим се прописују форма, садржај и друге карактеристике планских докумената Републике Србије.</w:t>
      </w:r>
    </w:p>
    <w:p>
      <w:pPr>
        <w:pStyle w:val="Normal"/>
        <w:rPr/>
      </w:pPr>
      <w:r>
        <w:rPr/>
        <w:t>Република Србија се придружила Декларацији партнера Западног Балкана о интеграцији Рома и Ромкиња у оквиру процеса проширења Европске уније (у даљем тексту: Познањска декларација) 2019. године. Европска унија (ЕУ) је усвојила ЕУ Стратешки оквир за једнакост, укључивање и учешће Рома до 2030. године (у даљем тексту: ЕУ Стратешки оквир за Роме).</w:t>
      </w:r>
    </w:p>
    <w:p>
      <w:pPr>
        <w:pStyle w:val="Normal"/>
        <w:rPr/>
      </w:pPr>
      <w:r>
        <w:rPr/>
        <w:t>С обзиром на измењен контекст, као и наведена нова документа, произашла је потреба да се  Стратегија за социјално укључивање Рома и Ромкиња у Републици Србији за период од 2016. до 2025. године ревидира 2022 године  и усагласи са Законом о планском систему, као и са и Уредбом о методологији управљања јавним политикама, анализи ефеката јавних политика и садржају појединачних докумената јавних политика. Затим, Стратегија је усклађена са Познањском декларацијом и ЕУ Стратешким оквиром за Роме.</w:t>
      </w:r>
    </w:p>
    <w:p>
      <w:pPr>
        <w:pStyle w:val="Normal"/>
        <w:rPr/>
      </w:pPr>
      <w:r>
        <w:rPr/>
        <w:t>Министарство за људска и мањинска права и друштвени дијалог покренуло је иницијативу за ревизију Стратегије за социјално укључивање Рома и Ромкиња у Републици Србији за период од 2016. до 2025. године, као надлежни предлагач, а у складу са чланом 29. став 1. Закона о планском систему Републике Србије. У складу са наведеним документима, период спровођења Стратегије је од 2022. до 2030. године.</w:t>
      </w:r>
    </w:p>
    <w:p>
      <w:pPr>
        <w:pStyle w:val="Normal"/>
        <w:rPr/>
      </w:pPr>
      <w:r>
        <w:rPr/>
        <w:t>Стратегија за социјално укључивање Рома и Ромкиња у Републици Србији за период од 2022–2030. године (у даљем тексту: Стратегија) је усаглашена на нивоу Стручне групе Координационог тела за унапређење положаја и социјално укључивање Рома и Ромкиња и праћење реализације Стратегије за социјално укључивање Рома и Ромкиња у Републици Србији.</w:t>
      </w:r>
    </w:p>
    <w:p>
      <w:pPr>
        <w:pStyle w:val="Normal"/>
        <w:rPr/>
      </w:pPr>
      <w:r>
        <w:rPr/>
        <w:t>Институционални ресурси за припрему, спровођење, праћење и процену Стратегије су Координационо тело за унапређење положаја и социјално укључивање Рома и Ромкиња и праћење реализације Стратегије, Министарство за људска и мањинска права и друштвени дијалог и ресорна министарства која су задужена да воде јавне политике од интереса за остваривање стратешких мера, јединице локалне самоуправе, као и Национални савет ромске националне мањине Републике Србије и бројне међународне и домаће организације цивилног друштва, а нарочито удружења грађана ромске националности.</w:t>
      </w:r>
    </w:p>
    <w:p>
      <w:pPr>
        <w:pStyle w:val="Normal"/>
        <w:rPr/>
      </w:pPr>
      <w:r>
        <w:rPr/>
        <w:t>Стратегија се заснива на међународним актима и националном прописима који се односе на области обухваћене овим документом као што су: правда и заштита људских и мањинских права, укључивање и једнакост Ромкиња и Рома у друштво, једнакост и недискриминација, образовање, запошљавање, становање, здравље, социјална заштита.</w:t>
      </w:r>
    </w:p>
    <w:p>
      <w:pPr>
        <w:pStyle w:val="Normal"/>
        <w:rPr/>
      </w:pPr>
      <w:r>
        <w:rPr/>
        <w:t>Општи циљ Стратегије је унапређење квалитета живота Ромкиња и Рома у Србији, уз уважавање људских и мањинских права, елиминисање дискриминације и антициганизма као облика расизма и постизање веће социјалне укључености у свим сегментима друштва.</w:t>
      </w:r>
    </w:p>
    <w:p>
      <w:pPr>
        <w:pStyle w:val="Normal"/>
        <w:rPr/>
      </w:pPr>
      <w:r>
        <w:rPr/>
        <w:t>Стратегија обухвата циљеве који се односе на унапређење партиципације Ромкиња и Рома у свим друштвеним процесима, обезбеђивањем пуне укључености у предшколско, основно, средње и високо образоваан приступ квалитетном и одрживом запошљавању, као и квалитетним здравственим услугама, побољшање услова становања и једнак приступ Рома и Ромкиња правима и услугама у социјалној заштити.</w:t>
      </w:r>
    </w:p>
    <w:p>
      <w:pPr>
        <w:pStyle w:val="Normal"/>
        <w:rPr/>
      </w:pPr>
      <w:r>
        <w:rPr/>
        <w:t>У области становања, постављени циљеви и мере усмерени су на унапређење услова становања, израду урбанистичко-планске документације за ромска насеља, регулисање имовинско-правних питања и озакоњење објеката, побољшање инфраструктуре и стандарда становања, спровођење програма социјалног становања и других видова стамбене подршке, као и примену међународних стандарда приликом расељавања неформалних (подстандардних) насеља. Планиране мере такође обухватају успостављање и ажурирање просторне базе података о ромским насељима у циљу редовног праћења стања и реализованих активности на унапређењу насеља и озакоњења објеката</w:t>
      </w:r>
    </w:p>
    <w:p>
      <w:pPr>
        <w:pStyle w:val="Normal"/>
        <w:rPr/>
      </w:pPr>
      <w:r>
        <w:rPr/>
        <w:t>Локалне самоуправе располажу механизмима на основу којих могу да управљају и спроводе инклузивне јавне политике, а осим тога Закон о локалној самоуправи их обавезује да се старају о остваривању људских и мањинских права. Овакво усмерење стратешких мера омогућава праћење остваривања права Рома и Ромкиња и напредак у вези са применом инклузивних политика, најпре, у локалној заједници, а потом и широј друштвеној заједници. На основу непосредних података и информација, локалне самоуправе могу да унапреде инструменте и механизме помоћу којих је могуће елиминисати узроке отежаног приступа правима и структурног сиромаштва Рома и Ромкиња. С тим циљем, Влада РС путем Стратегије истиче потребу да локалне самоуправе припремају и усвајају локалне акционе планове, усклађене са реалним, општим и локалним економским и социјалним развојем, да обучавају стручне тимове у локалној самоуправи који би били способни да припреме, спроводе и управљају локалном стратегијом и да обезбеде средства у локалним буџетима за спровођење мера социјалног укључивања Рома и Ромкиња, те осигурају доследно утврђивање одговорности за њихово спровођење.</w:t>
      </w:r>
    </w:p>
    <w:p>
      <w:pPr>
        <w:pStyle w:val="Normal"/>
        <w:rPr/>
      </w:pPr>
      <w:r>
        <w:rPr/>
        <w:t>Стратегија одрживог урбаног развоја се фокусира на уређења градског простора, решавања проблема урбаног развоја и потенцијале које урбана насеља носе као генератори развојних активности.  Постављени стратешки правац друштвеног благостања, између осталог, обухвата мере: уједначавање доступности и квалитета јавних служби у урбаним подручјима (објекти образовања, здравства, социјалне заштите, културе, рекреације и спорта); друштвено укључивање и смањење ризика од сиромаштва у урбаним подручјима; квалитет уређености и приступачности урбаног простора обезбеђивањем одрживог становања за све грађане и санација неплански изграђених делова насеља и приградских насеља; подизање нивоа транспарентности у процесу доношења одлука о урбаном развоју кроз унапређење партиципације грађана и укључивања креатора јавних политика</w:t>
      </w:r>
    </w:p>
    <w:p>
      <w:pPr>
        <w:pStyle w:val="Normal"/>
        <w:rPr/>
      </w:pPr>
      <w:r>
        <w:rPr/>
      </w:r>
    </w:p>
    <w:p>
      <w:pPr>
        <w:pStyle w:val="2"/>
        <w:rPr/>
      </w:pPr>
      <w:bookmarkStart w:id="3" w:name="_Toc184550024"/>
      <w:r>
        <w:rPr/>
        <w:t>Локалне стратегије</w:t>
      </w:r>
      <w:bookmarkEnd w:id="3"/>
    </w:p>
    <w:p>
      <w:pPr>
        <w:pStyle w:val="Default"/>
        <w:spacing w:before="120" w:after="0"/>
        <w:jc w:val="both"/>
        <w:rPr>
          <w:rFonts w:ascii="Calibri" w:hAnsi="Calibri" w:cs="Calibri" w:asciiTheme="minorHAnsi" w:cstheme="minorHAnsi" w:hAnsiTheme="minorHAnsi"/>
          <w:bCs/>
          <w:sz w:val="22"/>
          <w:szCs w:val="22"/>
          <w:lang w:val="sr-RS"/>
        </w:rPr>
      </w:pPr>
      <w:r>
        <w:rPr>
          <w:rFonts w:cs="Calibri" w:cstheme="minorHAnsi" w:ascii="Calibri" w:hAnsi="Calibri"/>
          <w:bCs/>
          <w:sz w:val="22"/>
          <w:szCs w:val="22"/>
          <w:lang w:val="sr-RS"/>
        </w:rPr>
      </w:r>
    </w:p>
    <w:p>
      <w:pPr>
        <w:pStyle w:val="Default"/>
        <w:spacing w:before="120" w:after="0"/>
        <w:jc w:val="both"/>
        <w:rPr>
          <w:rFonts w:ascii="Calibri" w:hAnsi="Calibri" w:cs="Calibri" w:asciiTheme="minorHAnsi" w:cstheme="minorHAnsi" w:hAnsiTheme="minorHAnsi"/>
          <w:bCs/>
          <w:sz w:val="22"/>
          <w:szCs w:val="22"/>
          <w:lang w:val="sr-RS"/>
        </w:rPr>
      </w:pPr>
      <w:r>
        <w:rPr>
          <w:rFonts w:cs="Calibri" w:ascii="Calibri" w:hAnsi="Calibri" w:asciiTheme="minorHAnsi" w:cstheme="minorHAnsi" w:hAnsiTheme="minorHAnsi"/>
          <w:bCs/>
          <w:sz w:val="22"/>
          <w:szCs w:val="22"/>
          <w:lang w:val="sr-RS"/>
        </w:rPr>
        <w:t>У периоду израде овог документа, у општини Беочин су на снази биле следеће локалне стратегије и акциони планови:</w:t>
      </w:r>
    </w:p>
    <w:p>
      <w:pPr>
        <w:pStyle w:val="ListParagraph"/>
        <w:numPr>
          <w:ilvl w:val="0"/>
          <w:numId w:val="5"/>
        </w:numPr>
        <w:rPr/>
      </w:pPr>
      <w:r>
        <w:rPr/>
        <w:t xml:space="preserve"> </w:t>
      </w:r>
      <w:r>
        <w:rPr/>
        <w:t>План развоја општине Беочин 2023 –2030.</w:t>
      </w:r>
    </w:p>
    <w:p>
      <w:pPr>
        <w:pStyle w:val="ListParagraph"/>
        <w:numPr>
          <w:ilvl w:val="0"/>
          <w:numId w:val="5"/>
        </w:numPr>
        <w:rPr/>
      </w:pPr>
      <w:r>
        <w:rPr/>
        <w:t>План јавног здравља општине Беочин 2022 – 2025</w:t>
      </w:r>
    </w:p>
    <w:p>
      <w:pPr>
        <w:pStyle w:val="ListParagraph"/>
        <w:numPr>
          <w:ilvl w:val="0"/>
          <w:numId w:val="5"/>
        </w:numPr>
        <w:rPr/>
      </w:pPr>
      <w:r>
        <w:rPr/>
        <w:t>Регионални план управљања отпадом за Град Нови Сад и општине Бачка Паланка, Бачки Петровац, Беочин, Жабаљ, Србобран, Темерин и Врбас за период 2019 – 2028. године</w:t>
      </w:r>
    </w:p>
    <w:p>
      <w:pPr>
        <w:pStyle w:val="Default"/>
        <w:spacing w:before="120" w:after="0"/>
        <w:jc w:val="both"/>
        <w:rPr>
          <w:rFonts w:ascii="Calibri" w:hAnsi="Calibri" w:cs="Calibri" w:asciiTheme="minorHAnsi" w:cstheme="minorHAnsi" w:hAnsiTheme="minorHAnsi"/>
          <w:bCs/>
          <w:sz w:val="22"/>
          <w:szCs w:val="22"/>
          <w:highlight w:val="yellow"/>
          <w:lang w:val="sr-RS"/>
        </w:rPr>
      </w:pPr>
      <w:r>
        <w:rPr>
          <w:rFonts w:cs="Calibri" w:cstheme="minorHAnsi" w:ascii="Calibri" w:hAnsi="Calibri"/>
          <w:bCs/>
          <w:sz w:val="22"/>
          <w:szCs w:val="22"/>
          <w:highlight w:val="yellow"/>
          <w:lang w:val="sr-RS"/>
        </w:rPr>
      </w:r>
    </w:p>
    <w:p>
      <w:pPr>
        <w:pStyle w:val="Normal"/>
        <w:rPr/>
      </w:pPr>
      <w:r>
        <w:rPr/>
        <w:t>План  развоја општине Беочин 2023-2030 представља кровни плански документ развоја општине Беочин. У оквиру овог документа није било посебних циљева, мера или активности које су се односиле на инклузију Рома и Ромкиња.</w:t>
      </w:r>
    </w:p>
    <w:p>
      <w:pPr>
        <w:pStyle w:val="Default"/>
        <w:spacing w:before="120" w:after="0"/>
        <w:jc w:val="both"/>
        <w:rPr>
          <w:rFonts w:ascii="Calibri" w:hAnsi="Calibri" w:cs="Calibri" w:asciiTheme="minorHAnsi" w:cstheme="minorHAnsi" w:hAnsiTheme="minorHAnsi"/>
          <w:bCs/>
          <w:sz w:val="22"/>
          <w:szCs w:val="22"/>
          <w:lang w:val="sr-RS"/>
        </w:rPr>
      </w:pPr>
      <w:r>
        <w:rPr>
          <w:rFonts w:cs="Calibri" w:cstheme="minorHAnsi" w:ascii="Calibri" w:hAnsi="Calibri"/>
          <w:bCs/>
          <w:sz w:val="22"/>
          <w:szCs w:val="22"/>
          <w:lang w:val="sr-RS"/>
        </w:rPr>
      </w:r>
    </w:p>
    <w:p>
      <w:pPr>
        <w:pStyle w:val="2"/>
        <w:rPr/>
      </w:pPr>
      <w:bookmarkStart w:id="4" w:name="_Toc184550025"/>
      <w:r>
        <w:rPr/>
        <w:t>Институционални оквир на локалном нивоу</w:t>
      </w:r>
      <w:bookmarkEnd w:id="4"/>
    </w:p>
    <w:p>
      <w:pPr>
        <w:pStyle w:val="Default"/>
        <w:spacing w:before="120" w:after="0"/>
        <w:jc w:val="both"/>
        <w:rPr>
          <w:rFonts w:ascii="Calibri" w:hAnsi="Calibri" w:cs="Calibri" w:asciiTheme="minorHAnsi" w:cstheme="minorHAnsi" w:hAnsiTheme="minorHAnsi"/>
          <w:bCs/>
          <w:sz w:val="22"/>
          <w:szCs w:val="22"/>
          <w:lang w:val="sr-RS"/>
        </w:rPr>
      </w:pPr>
      <w:r>
        <w:rPr>
          <w:rFonts w:cs="Calibri" w:cstheme="minorHAnsi" w:ascii="Calibri" w:hAnsi="Calibri"/>
          <w:bCs/>
          <w:sz w:val="22"/>
          <w:szCs w:val="22"/>
          <w:lang w:val="sr-RS"/>
        </w:rPr>
      </w:r>
    </w:p>
    <w:p>
      <w:pPr>
        <w:pStyle w:val="Normal"/>
        <w:rPr/>
      </w:pPr>
      <w:r>
        <w:rPr>
          <w:bCs/>
        </w:rPr>
        <w:t>У општини Беочин именован је  координатор за ромска питања</w:t>
      </w:r>
      <w:r>
        <w:rPr>
          <w:b/>
          <w:bCs/>
        </w:rPr>
        <w:t>.</w:t>
      </w:r>
      <w:r>
        <w:rPr>
          <w:bCs/>
        </w:rPr>
        <w:t xml:space="preserve"> </w:t>
      </w:r>
      <w:r>
        <w:rPr/>
        <w:t>У општини су формирани Савет за међунационалне односе и  има једног члана ромске националности и Комисија за родну равноправност, нема члана ромске националности.</w:t>
      </w:r>
    </w:p>
    <w:p>
      <w:pPr>
        <w:pStyle w:val="Normal"/>
        <w:spacing w:before="120" w:after="60"/>
        <w:rPr/>
      </w:pPr>
      <w:r>
        <w:rPr/>
        <w:t>На подручју општине Беочин формирана је  Мобилна јединицу за социјално укључивање Рома и Ромкиња на локалном нивоу (у даљем тексту: Мобилни тим), и  ангажовани су два  педагошка асистента и једна  здравствена медијаторка.</w:t>
      </w:r>
    </w:p>
    <w:p>
      <w:pPr>
        <w:pStyle w:val="Normal"/>
        <w:suppressAutoHyphens w:val="true"/>
        <w:spacing w:lineRule="auto" w:line="259" w:before="0" w:after="160"/>
        <w:contextualSpacing/>
        <w:jc w:val="left"/>
        <w:rPr>
          <w:rFonts w:eastAsia="Calibri"/>
        </w:rPr>
      </w:pPr>
      <w:r>
        <w:rPr>
          <w:rFonts w:eastAsia="Calibri"/>
        </w:rPr>
        <w:t xml:space="preserve">Мобилни тим за инклузију Рома на локалном нивоу (у даљем тексту: Мобилни тим) именован је 12. јуна 2018. године Одлуком Општинског већа број 01-02-39/18, док је ново Решење о допуњеном/измењеном саставу Мобилног тима донето 19.12.2020. године, број 01-02-128/20, у чији састав су укључени: </w:t>
      </w:r>
    </w:p>
    <w:p>
      <w:pPr>
        <w:pStyle w:val="Normal"/>
        <w:suppressAutoHyphens w:val="true"/>
        <w:spacing w:lineRule="auto" w:line="259" w:before="0" w:after="0"/>
        <w:ind w:left="360" w:hanging="0"/>
        <w:contextualSpacing/>
        <w:rPr>
          <w:rFonts w:eastAsia="Calibri"/>
        </w:rPr>
      </w:pPr>
      <w:r>
        <w:rPr>
          <w:rFonts w:eastAsia="Calibri"/>
        </w:rPr>
      </w:r>
    </w:p>
    <w:p>
      <w:pPr>
        <w:pStyle w:val="Normal"/>
        <w:numPr>
          <w:ilvl w:val="0"/>
          <w:numId w:val="15"/>
        </w:numPr>
        <w:suppressAutoHyphens w:val="true"/>
        <w:spacing w:lineRule="auto" w:line="259" w:before="0" w:after="160"/>
        <w:contextualSpacing/>
        <w:jc w:val="left"/>
        <w:rPr>
          <w:rFonts w:eastAsia="Calibri"/>
        </w:rPr>
      </w:pPr>
      <w:r>
        <w:rPr>
          <w:rFonts w:eastAsia="Calibri"/>
        </w:rPr>
        <w:t>Координатор за ромска питања</w:t>
      </w:r>
    </w:p>
    <w:p>
      <w:pPr>
        <w:pStyle w:val="Normal"/>
        <w:numPr>
          <w:ilvl w:val="0"/>
          <w:numId w:val="15"/>
        </w:numPr>
        <w:suppressAutoHyphens w:val="true"/>
        <w:spacing w:lineRule="auto" w:line="259" w:before="0" w:after="160"/>
        <w:contextualSpacing/>
        <w:jc w:val="left"/>
        <w:rPr>
          <w:rFonts w:eastAsia="Calibri"/>
        </w:rPr>
      </w:pPr>
      <w:r>
        <w:rPr>
          <w:rFonts w:eastAsia="Calibri"/>
        </w:rPr>
        <w:t xml:space="preserve">Педагошки асистент, </w:t>
      </w:r>
    </w:p>
    <w:p>
      <w:pPr>
        <w:pStyle w:val="Normal"/>
        <w:numPr>
          <w:ilvl w:val="0"/>
          <w:numId w:val="15"/>
        </w:numPr>
        <w:suppressAutoHyphens w:val="true"/>
        <w:spacing w:lineRule="auto" w:line="259" w:before="0" w:after="160"/>
        <w:contextualSpacing/>
        <w:jc w:val="left"/>
        <w:rPr>
          <w:rFonts w:eastAsia="Calibri"/>
        </w:rPr>
      </w:pPr>
      <w:r>
        <w:rPr>
          <w:rFonts w:eastAsia="Calibri"/>
        </w:rPr>
        <w:t xml:space="preserve">Педагошка асистенткиња, </w:t>
      </w:r>
    </w:p>
    <w:p>
      <w:pPr>
        <w:pStyle w:val="Normal"/>
        <w:numPr>
          <w:ilvl w:val="0"/>
          <w:numId w:val="15"/>
        </w:numPr>
        <w:suppressAutoHyphens w:val="true"/>
        <w:spacing w:lineRule="auto" w:line="259" w:before="0" w:after="160"/>
        <w:contextualSpacing/>
        <w:jc w:val="left"/>
        <w:rPr>
          <w:rFonts w:eastAsia="Calibri"/>
        </w:rPr>
      </w:pPr>
      <w:r>
        <w:rPr>
          <w:rFonts w:eastAsia="Calibri"/>
        </w:rPr>
        <w:t xml:space="preserve">Саветница за запошљавање НСЗ Филијала Нови Сад, испостава Беочин, </w:t>
      </w:r>
    </w:p>
    <w:p>
      <w:pPr>
        <w:pStyle w:val="Normal"/>
        <w:numPr>
          <w:ilvl w:val="0"/>
          <w:numId w:val="15"/>
        </w:numPr>
        <w:suppressAutoHyphens w:val="true"/>
        <w:spacing w:lineRule="auto" w:line="259" w:before="0" w:after="160"/>
        <w:contextualSpacing/>
        <w:jc w:val="left"/>
        <w:rPr>
          <w:rFonts w:eastAsia="Calibri"/>
        </w:rPr>
      </w:pPr>
      <w:r>
        <w:rPr>
          <w:rFonts w:eastAsia="Calibri"/>
        </w:rPr>
        <w:t xml:space="preserve">Главна сестра Дома здравља „Др Душан Савић Дода“ Беочин, </w:t>
      </w:r>
    </w:p>
    <w:p>
      <w:pPr>
        <w:pStyle w:val="Normal"/>
        <w:numPr>
          <w:ilvl w:val="0"/>
          <w:numId w:val="15"/>
        </w:numPr>
        <w:suppressAutoHyphens w:val="true"/>
        <w:spacing w:lineRule="auto" w:line="259" w:before="0" w:after="160"/>
        <w:contextualSpacing/>
        <w:jc w:val="left"/>
        <w:rPr>
          <w:rFonts w:eastAsia="Calibri"/>
        </w:rPr>
      </w:pPr>
      <w:r>
        <w:rPr>
          <w:rFonts w:eastAsia="Calibri"/>
        </w:rPr>
        <w:t xml:space="preserve">Здравствена медијаторка, ангажована од стране Министарства здравља </w:t>
      </w:r>
    </w:p>
    <w:p>
      <w:pPr>
        <w:pStyle w:val="Normal"/>
        <w:numPr>
          <w:ilvl w:val="0"/>
          <w:numId w:val="15"/>
        </w:numPr>
        <w:suppressAutoHyphens w:val="true"/>
        <w:spacing w:lineRule="auto" w:line="259" w:before="0" w:after="160"/>
        <w:contextualSpacing/>
        <w:jc w:val="left"/>
        <w:rPr>
          <w:rFonts w:eastAsia="Calibri"/>
        </w:rPr>
      </w:pPr>
      <w:r>
        <w:rPr>
          <w:rFonts w:eastAsia="Calibri"/>
        </w:rPr>
        <w:t>Командир ПС Беочин;</w:t>
      </w:r>
    </w:p>
    <w:p>
      <w:pPr>
        <w:pStyle w:val="Normal"/>
        <w:numPr>
          <w:ilvl w:val="0"/>
          <w:numId w:val="15"/>
        </w:numPr>
        <w:suppressAutoHyphens w:val="true"/>
        <w:spacing w:lineRule="auto" w:line="259" w:before="0" w:after="160"/>
        <w:contextualSpacing/>
        <w:jc w:val="left"/>
        <w:rPr>
          <w:rFonts w:eastAsia="Calibri"/>
        </w:rPr>
      </w:pPr>
      <w:r>
        <w:rPr>
          <w:rFonts w:eastAsia="Calibri"/>
        </w:rPr>
        <w:t>Чланица Општинског већа задужена за националне мањине, верске заједнице и сарадњу са месним заједницама;</w:t>
      </w:r>
    </w:p>
    <w:p>
      <w:pPr>
        <w:pStyle w:val="Normal"/>
        <w:numPr>
          <w:ilvl w:val="0"/>
          <w:numId w:val="15"/>
        </w:numPr>
        <w:suppressAutoHyphens w:val="true"/>
        <w:spacing w:lineRule="auto" w:line="259" w:before="0" w:after="160"/>
        <w:contextualSpacing/>
        <w:jc w:val="left"/>
        <w:rPr>
          <w:rFonts w:eastAsia="Calibri"/>
        </w:rPr>
      </w:pPr>
      <w:r>
        <w:rPr>
          <w:rFonts w:eastAsia="Calibri"/>
        </w:rPr>
        <w:t>Чланица Општинског већа задужена за здравствену заштиту, популациону политику, родну равноправност и социјална питања,</w:t>
      </w:r>
    </w:p>
    <w:p>
      <w:pPr>
        <w:pStyle w:val="Normal"/>
        <w:numPr>
          <w:ilvl w:val="0"/>
          <w:numId w:val="15"/>
        </w:numPr>
        <w:suppressAutoHyphens w:val="true"/>
        <w:spacing w:lineRule="auto" w:line="259" w:before="0" w:after="160"/>
        <w:contextualSpacing/>
        <w:jc w:val="left"/>
        <w:rPr>
          <w:rFonts w:eastAsia="Calibri"/>
        </w:rPr>
      </w:pPr>
      <w:r>
        <w:rPr>
          <w:rFonts w:eastAsia="Calibri"/>
          <w:color w:val="000000"/>
        </w:rPr>
        <w:t>Начелник</w:t>
      </w:r>
      <w:r>
        <w:rPr>
          <w:rFonts w:eastAsia="Calibri"/>
        </w:rPr>
        <w:t xml:space="preserve"> Општинске управе;</w:t>
      </w:r>
    </w:p>
    <w:p>
      <w:pPr>
        <w:pStyle w:val="Normal"/>
        <w:numPr>
          <w:ilvl w:val="0"/>
          <w:numId w:val="15"/>
        </w:numPr>
        <w:suppressAutoHyphens w:val="true"/>
        <w:spacing w:lineRule="auto" w:line="259" w:before="0" w:after="160"/>
        <w:contextualSpacing/>
        <w:jc w:val="left"/>
        <w:rPr>
          <w:rFonts w:eastAsia="Calibri"/>
        </w:rPr>
      </w:pPr>
      <w:r>
        <w:rPr>
          <w:rFonts w:eastAsia="Calibri"/>
        </w:rPr>
        <w:t xml:space="preserve">Руководилац одељења за инспекцијске послове, урбанизам и заштиту животне средине, </w:t>
      </w:r>
    </w:p>
    <w:p>
      <w:pPr>
        <w:pStyle w:val="Normal"/>
        <w:numPr>
          <w:ilvl w:val="0"/>
          <w:numId w:val="15"/>
        </w:numPr>
        <w:suppressAutoHyphens w:val="true"/>
        <w:spacing w:lineRule="auto" w:line="259" w:before="0" w:after="160"/>
        <w:contextualSpacing/>
        <w:jc w:val="left"/>
        <w:rPr>
          <w:rFonts w:eastAsia="Calibri"/>
        </w:rPr>
      </w:pPr>
      <w:r>
        <w:rPr>
          <w:rFonts w:eastAsia="Calibri"/>
        </w:rPr>
        <w:t>Председник Удружења Рома Беочин,</w:t>
      </w:r>
    </w:p>
    <w:p>
      <w:pPr>
        <w:pStyle w:val="Normal"/>
        <w:numPr>
          <w:ilvl w:val="0"/>
          <w:numId w:val="15"/>
        </w:numPr>
        <w:suppressAutoHyphens w:val="true"/>
        <w:spacing w:lineRule="auto" w:line="259" w:before="0" w:after="160"/>
        <w:contextualSpacing/>
        <w:jc w:val="left"/>
        <w:rPr>
          <w:rFonts w:eastAsia="Calibri"/>
        </w:rPr>
      </w:pPr>
      <w:r>
        <w:rPr>
          <w:rFonts w:eastAsia="Calibri"/>
        </w:rPr>
        <w:t xml:space="preserve">Представник Центра за социјални рад Града Новог Сада, Одељење Беочин, </w:t>
      </w:r>
    </w:p>
    <w:p>
      <w:pPr>
        <w:pStyle w:val="Normal"/>
        <w:suppressAutoHyphens w:val="true"/>
        <w:spacing w:lineRule="auto" w:line="259" w:before="0" w:after="160"/>
        <w:ind w:left="720" w:hanging="0"/>
        <w:contextualSpacing/>
        <w:jc w:val="left"/>
        <w:rPr>
          <w:rFonts w:eastAsia="Calibri"/>
        </w:rPr>
      </w:pPr>
      <w:r>
        <w:rPr>
          <w:rFonts w:eastAsia="Calibri"/>
        </w:rPr>
      </w:r>
    </w:p>
    <w:p>
      <w:pPr>
        <w:pStyle w:val="Normal"/>
        <w:suppressAutoHyphens w:val="true"/>
        <w:spacing w:lineRule="auto" w:line="259" w:before="0" w:after="160"/>
        <w:rPr>
          <w:rFonts w:eastAsia="Calibri"/>
        </w:rPr>
      </w:pPr>
      <w:r>
        <w:rPr>
          <w:rFonts w:eastAsia="Calibri"/>
        </w:rPr>
        <w:t xml:space="preserve">Решењем о формирању Мобилног тима предвиђено је да се на састанке Тима могу позивати стручњаци и представници других органа или организација. У реализацију активности од значаја за социјално укључивање Рома могу бити укључени и представници других релевантних актера. </w:t>
        <w:tab/>
      </w:r>
    </w:p>
    <w:p>
      <w:pPr>
        <w:pStyle w:val="Normal"/>
        <w:suppressAutoHyphens w:val="true"/>
        <w:spacing w:lineRule="auto" w:line="259" w:before="0" w:after="160"/>
        <w:rPr>
          <w:rFonts w:eastAsia="Calibri"/>
        </w:rPr>
      </w:pPr>
      <w:r>
        <w:rPr>
          <w:rFonts w:eastAsia="Calibri"/>
        </w:rPr>
        <w:t xml:space="preserve">Задаци Мобилног тима, у складу са Решењем о формирању су да: </w:t>
      </w:r>
    </w:p>
    <w:p>
      <w:pPr>
        <w:pStyle w:val="Normal"/>
        <w:numPr>
          <w:ilvl w:val="0"/>
          <w:numId w:val="14"/>
        </w:numPr>
        <w:suppressAutoHyphens w:val="true"/>
        <w:spacing w:lineRule="auto" w:line="259" w:before="0" w:after="160"/>
        <w:jc w:val="left"/>
        <w:rPr>
          <w:rFonts w:eastAsia="Calibri"/>
        </w:rPr>
      </w:pPr>
      <w:r>
        <w:rPr>
          <w:rFonts w:eastAsia="Calibri"/>
        </w:rPr>
        <w:t>организује редовне заједничке посете ромским насељима и радионице и сличне активности у циљу информисања и обуке ромске популације о правима које је могуће остварити пред различитим институцијама и упознавања чланова Тима са потребама ромске популације;</w:t>
      </w:r>
    </w:p>
    <w:p>
      <w:pPr>
        <w:pStyle w:val="Normal"/>
        <w:numPr>
          <w:ilvl w:val="0"/>
          <w:numId w:val="14"/>
        </w:numPr>
        <w:suppressAutoHyphens w:val="true"/>
        <w:spacing w:lineRule="auto" w:line="259" w:before="0" w:after="160"/>
        <w:jc w:val="left"/>
        <w:rPr>
          <w:rFonts w:eastAsia="Calibri"/>
        </w:rPr>
      </w:pPr>
      <w:r>
        <w:rPr>
          <w:rFonts w:eastAsia="Calibri"/>
        </w:rPr>
        <w:t xml:space="preserve">одржава редовне састанке; </w:t>
      </w:r>
    </w:p>
    <w:p>
      <w:pPr>
        <w:pStyle w:val="Normal"/>
        <w:numPr>
          <w:ilvl w:val="0"/>
          <w:numId w:val="14"/>
        </w:numPr>
        <w:suppressAutoHyphens w:val="true"/>
        <w:spacing w:lineRule="auto" w:line="259" w:before="0" w:after="160"/>
        <w:jc w:val="left"/>
        <w:rPr>
          <w:rFonts w:eastAsia="Calibri"/>
        </w:rPr>
      </w:pPr>
      <w:r>
        <w:rPr>
          <w:rFonts w:eastAsia="Calibri"/>
        </w:rPr>
        <w:t>сачини годишњи Оперативни план својих активности који ће поднети на усвајање Општинском већу Општине Беочин;</w:t>
      </w:r>
    </w:p>
    <w:p>
      <w:pPr>
        <w:pStyle w:val="Normal"/>
        <w:numPr>
          <w:ilvl w:val="0"/>
          <w:numId w:val="14"/>
        </w:numPr>
        <w:suppressAutoHyphens w:val="true"/>
        <w:spacing w:lineRule="auto" w:line="259" w:before="0" w:after="160"/>
        <w:jc w:val="left"/>
        <w:rPr>
          <w:rFonts w:eastAsia="Calibri"/>
        </w:rPr>
      </w:pPr>
      <w:r>
        <w:rPr>
          <w:rFonts w:eastAsia="Calibri"/>
        </w:rPr>
        <w:t xml:space="preserve">учествује у изради и реализацији ЛАП-а; </w:t>
      </w:r>
    </w:p>
    <w:p>
      <w:pPr>
        <w:pStyle w:val="Normal"/>
        <w:numPr>
          <w:ilvl w:val="0"/>
          <w:numId w:val="14"/>
        </w:numPr>
        <w:suppressAutoHyphens w:val="true"/>
        <w:spacing w:lineRule="auto" w:line="259" w:before="0" w:after="160"/>
        <w:jc w:val="left"/>
        <w:rPr>
          <w:rFonts w:eastAsia="Calibri"/>
        </w:rPr>
      </w:pPr>
      <w:r>
        <w:rPr>
          <w:rFonts w:eastAsia="Calibri"/>
        </w:rPr>
        <w:t xml:space="preserve">размењује информације о текућим пословима и иницијативама у делокругу свих институција чији представници су чланови Тима и податке, у складу са прописима о заштити података о личности; </w:t>
      </w:r>
    </w:p>
    <w:p>
      <w:pPr>
        <w:pStyle w:val="Normal"/>
        <w:numPr>
          <w:ilvl w:val="0"/>
          <w:numId w:val="14"/>
        </w:numPr>
        <w:suppressAutoHyphens w:val="true"/>
        <w:spacing w:lineRule="auto" w:line="259" w:before="0" w:after="160"/>
        <w:jc w:val="left"/>
        <w:rPr>
          <w:rFonts w:eastAsia="Calibri"/>
        </w:rPr>
      </w:pPr>
      <w:r>
        <w:rPr>
          <w:rFonts w:eastAsia="Calibri"/>
        </w:rPr>
        <w:t xml:space="preserve">испитује потребе ромске заједнице у општини Беочин, посебно у области образовања, здравствене и социјалне заштите, становања и запошљавања; </w:t>
      </w:r>
    </w:p>
    <w:p>
      <w:pPr>
        <w:pStyle w:val="Normal"/>
        <w:numPr>
          <w:ilvl w:val="0"/>
          <w:numId w:val="14"/>
        </w:numPr>
        <w:suppressAutoHyphens w:val="true"/>
        <w:spacing w:lineRule="auto" w:line="259" w:before="0" w:after="160"/>
        <w:jc w:val="left"/>
        <w:rPr>
          <w:rFonts w:eastAsia="Calibri"/>
        </w:rPr>
      </w:pPr>
      <w:r>
        <w:rPr>
          <w:rFonts w:eastAsia="Calibri"/>
        </w:rPr>
        <w:t xml:space="preserve">сарађује и координира активности са другим органима, организацијама и телима у циљу унапређења социјалног укључивања Рома (интерресорном комисијом, заштитником грађана, предузећима и установама чији је оснивач Општина Беочин, Управом полиције, Канцеларијом за људска и мањинска права, Националним саветом ромске националне мањине, повереником за заштиту равноправности, Црвеним крстом, организацијама цивилног друштва, медијима, итд.); </w:t>
      </w:r>
    </w:p>
    <w:p>
      <w:pPr>
        <w:pStyle w:val="Normal"/>
        <w:numPr>
          <w:ilvl w:val="0"/>
          <w:numId w:val="14"/>
        </w:numPr>
        <w:suppressAutoHyphens w:val="true"/>
        <w:spacing w:lineRule="auto" w:line="259" w:before="0" w:after="160"/>
        <w:jc w:val="left"/>
        <w:rPr>
          <w:rFonts w:eastAsia="Calibri"/>
        </w:rPr>
      </w:pPr>
      <w:r>
        <w:rPr>
          <w:rFonts w:eastAsia="Calibri"/>
        </w:rPr>
        <w:t xml:space="preserve">указује надлежним органима на случајеве дискриминације у општини Беочин; </w:t>
      </w:r>
    </w:p>
    <w:p>
      <w:pPr>
        <w:pStyle w:val="Normal"/>
        <w:numPr>
          <w:ilvl w:val="0"/>
          <w:numId w:val="14"/>
        </w:numPr>
        <w:suppressAutoHyphens w:val="true"/>
        <w:spacing w:lineRule="auto" w:line="259" w:before="0" w:after="160"/>
        <w:jc w:val="left"/>
        <w:rPr>
          <w:rFonts w:eastAsia="Calibri"/>
        </w:rPr>
      </w:pPr>
      <w:r>
        <w:rPr>
          <w:rFonts w:eastAsia="Calibri"/>
        </w:rPr>
        <w:t xml:space="preserve">промовише и помаже укључивање Рома у доношење одлука на локалном нивоу (посебно у органе и тела Општине, школске одборе, савете родитеља, итд.); </w:t>
      </w:r>
    </w:p>
    <w:p>
      <w:pPr>
        <w:pStyle w:val="Normal"/>
        <w:numPr>
          <w:ilvl w:val="0"/>
          <w:numId w:val="14"/>
        </w:numPr>
        <w:suppressAutoHyphens w:val="true"/>
        <w:spacing w:lineRule="auto" w:line="259" w:before="0" w:after="160"/>
        <w:jc w:val="left"/>
        <w:rPr>
          <w:rFonts w:eastAsia="Calibri"/>
        </w:rPr>
      </w:pPr>
      <w:r>
        <w:rPr>
          <w:rFonts w:eastAsia="Calibri"/>
        </w:rPr>
        <w:t>иницира одлуке надлежних органа и других органа и организација којима се унапређује положај Рома;</w:t>
      </w:r>
    </w:p>
    <w:p>
      <w:pPr>
        <w:pStyle w:val="Normal"/>
        <w:numPr>
          <w:ilvl w:val="0"/>
          <w:numId w:val="14"/>
        </w:numPr>
        <w:suppressAutoHyphens w:val="true"/>
        <w:spacing w:lineRule="auto" w:line="259" w:before="0" w:after="160"/>
        <w:jc w:val="left"/>
        <w:rPr>
          <w:rFonts w:eastAsia="Calibri"/>
        </w:rPr>
      </w:pPr>
      <w:r>
        <w:rPr>
          <w:rFonts w:eastAsia="Calibri"/>
        </w:rPr>
        <w:t xml:space="preserve">сарађује са невладиним организацијама које се баве ромским питањима; </w:t>
      </w:r>
    </w:p>
    <w:p>
      <w:pPr>
        <w:pStyle w:val="Normal"/>
        <w:numPr>
          <w:ilvl w:val="0"/>
          <w:numId w:val="14"/>
        </w:numPr>
        <w:suppressAutoHyphens w:val="true"/>
        <w:spacing w:lineRule="auto" w:line="259" w:before="0" w:after="160"/>
        <w:jc w:val="left"/>
        <w:rPr>
          <w:rFonts w:eastAsia="Calibri"/>
        </w:rPr>
      </w:pPr>
      <w:r>
        <w:rPr>
          <w:rFonts w:eastAsia="Calibri"/>
        </w:rPr>
        <w:t>учествује у активностима којима се промовише интеркултуралност и информише целокупно становништво града о ромској култури;</w:t>
      </w:r>
    </w:p>
    <w:p>
      <w:pPr>
        <w:pStyle w:val="Normal"/>
        <w:numPr>
          <w:ilvl w:val="0"/>
          <w:numId w:val="14"/>
        </w:numPr>
        <w:suppressAutoHyphens w:val="true"/>
        <w:spacing w:lineRule="auto" w:line="259" w:before="0" w:after="160"/>
        <w:jc w:val="left"/>
        <w:rPr>
          <w:rFonts w:eastAsia="Calibri"/>
        </w:rPr>
      </w:pPr>
      <w:r>
        <w:rPr>
          <w:rFonts w:eastAsia="Calibri"/>
        </w:rPr>
        <w:t xml:space="preserve">обавештава јавност о својим активностима и о положају Рома у општини Беочин; </w:t>
      </w:r>
    </w:p>
    <w:p>
      <w:pPr>
        <w:pStyle w:val="Normal"/>
        <w:numPr>
          <w:ilvl w:val="0"/>
          <w:numId w:val="14"/>
        </w:numPr>
        <w:suppressAutoHyphens w:val="true"/>
        <w:spacing w:lineRule="auto" w:line="259" w:before="0" w:after="160"/>
        <w:jc w:val="left"/>
        <w:rPr>
          <w:rFonts w:eastAsia="Calibri"/>
        </w:rPr>
      </w:pPr>
      <w:r>
        <w:rPr>
          <w:rFonts w:eastAsia="Calibri"/>
        </w:rPr>
        <w:t>предузима друге активности у циљу унапређења положаја Рома у општини Беочин, у складу са законом и општим актима Општине.</w:t>
      </w:r>
    </w:p>
    <w:p>
      <w:pPr>
        <w:pStyle w:val="Normal"/>
        <w:suppressAutoHyphens w:val="true"/>
        <w:spacing w:lineRule="auto" w:line="259" w:before="0" w:after="0"/>
        <w:rPr>
          <w:rFonts w:eastAsia="Calibri"/>
        </w:rPr>
      </w:pPr>
      <w:r>
        <w:rPr>
          <w:rFonts w:eastAsia="Calibri"/>
        </w:rPr>
        <w:t xml:space="preserve"> </w:t>
      </w:r>
      <w:r>
        <w:rPr>
          <w:rFonts w:eastAsia="Calibri"/>
        </w:rPr>
        <w:t>Мобилни тим подстиче директно примењивање стратешких мера у органима и установама; обилази ромска насеља на основу утврђеног плана; сарађује са Националним саветом ромске националне мањине и организацијама цивилног друштва; обавештава органе јавне управе о проблемима у вези са применом стратешких мера; припрема иницијативе и пројекте којима се осигурава сарадња локалних организација и партнера у процесу унапређења положаја Рома и Ромкиња; прикупља податке о остваривању стратешких мера.</w:t>
      </w:r>
    </w:p>
    <w:p>
      <w:pPr>
        <w:pStyle w:val="Normal"/>
        <w:spacing w:before="120" w:after="60"/>
        <w:rPr/>
      </w:pPr>
      <w:r>
        <w:rPr/>
      </w:r>
    </w:p>
    <w:p>
      <w:pPr>
        <w:pStyle w:val="Normal"/>
        <w:rPr/>
      </w:pPr>
      <w:r>
        <w:rPr/>
        <w:t>Поред наведених савета, у општини су формирани још и:</w:t>
      </w:r>
    </w:p>
    <w:p>
      <w:pPr>
        <w:pStyle w:val="ListParagraph"/>
        <w:numPr>
          <w:ilvl w:val="0"/>
          <w:numId w:val="6"/>
        </w:numPr>
        <w:rPr>
          <w:rFonts w:cs="Calibri" w:cstheme="minorHAnsi"/>
        </w:rPr>
      </w:pPr>
      <w:r>
        <w:rPr>
          <w:rFonts w:cs="Calibri" w:cstheme="minorHAnsi"/>
        </w:rPr>
        <w:t>Савет за здравље, у којем нема чланова ромске националности;</w:t>
      </w:r>
    </w:p>
    <w:p>
      <w:pPr>
        <w:pStyle w:val="ListParagraph"/>
        <w:numPr>
          <w:ilvl w:val="0"/>
          <w:numId w:val="6"/>
        </w:numPr>
        <w:rPr>
          <w:rFonts w:cs="Calibri" w:cstheme="minorHAnsi"/>
        </w:rPr>
      </w:pPr>
      <w:r>
        <w:rPr>
          <w:rFonts w:cs="Calibri" w:cstheme="minorHAnsi"/>
        </w:rPr>
        <w:t>Савет за родну равноправност, нема чланова р</w:t>
      </w:r>
      <w:r>
        <w:rPr>
          <w:rFonts w:cs="Calibri" w:cstheme="minorHAnsi"/>
          <w:lang w:val="en-US"/>
        </w:rPr>
        <w:t>o</w:t>
      </w:r>
      <w:r>
        <w:rPr>
          <w:rFonts w:cs="Calibri" w:cstheme="minorHAnsi"/>
        </w:rPr>
        <w:t>мске националности</w:t>
      </w:r>
    </w:p>
    <w:p>
      <w:pPr>
        <w:pStyle w:val="Normal"/>
        <w:spacing w:lineRule="auto" w:line="276" w:before="0" w:after="200"/>
        <w:jc w:val="left"/>
        <w:rPr>
          <w:rFonts w:ascii="Cambria" w:hAnsi="Cambria" w:eastAsia="" w:cs="" w:asciiTheme="majorHAnsi" w:cstheme="majorBidi" w:eastAsiaTheme="majorEastAsia" w:hAnsiTheme="majorHAnsi"/>
          <w:b/>
          <w:bCs/>
          <w:caps/>
          <w:color w:val="365F91" w:themeColor="accent1" w:themeShade="bf"/>
          <w:sz w:val="28"/>
          <w:szCs w:val="28"/>
        </w:rPr>
      </w:pPr>
      <w:r>
        <w:rPr>
          <w:rFonts w:eastAsia="" w:cs="" w:cstheme="majorBidi" w:eastAsiaTheme="majorEastAsia" w:ascii="Cambria" w:hAnsi="Cambria"/>
          <w:b/>
          <w:bCs/>
          <w:caps/>
          <w:color w:val="365F91" w:themeColor="accent1" w:themeShade="bf"/>
          <w:sz w:val="28"/>
          <w:szCs w:val="28"/>
        </w:rPr>
      </w:r>
    </w:p>
    <w:p>
      <w:pPr>
        <w:pStyle w:val="1"/>
        <w:rPr>
          <w:caps/>
        </w:rPr>
      </w:pPr>
      <w:bookmarkStart w:id="5" w:name="_Toc184550026"/>
      <w:r>
        <w:rPr>
          <w:caps/>
        </w:rPr>
        <w:t>Општи подаци о општини</w:t>
      </w:r>
      <w:bookmarkEnd w:id="5"/>
    </w:p>
    <w:p>
      <w:pPr>
        <w:pStyle w:val="Normal"/>
        <w:rPr/>
      </w:pPr>
      <w:r>
        <w:rPr/>
      </w:r>
    </w:p>
    <w:p>
      <w:pPr>
        <w:pStyle w:val="Normal"/>
        <w:rPr>
          <w:bCs/>
        </w:rPr>
      </w:pPr>
      <w:r>
        <w:rPr>
          <w:bCs/>
        </w:rPr>
        <w:t>Општина Беочин се налази у Војводини, у Јужнобачком округу. Налази се на северу Срема, између Дунава и Фрушке горе, на територији од 186 km². Административно седиште и највеће место општине је Беочин. Према подацима са пописа 2022. године у општини је живело 13.875 становника (према попису из 2011. било је 15.726 становника)</w:t>
      </w:r>
    </w:p>
    <w:p>
      <w:pPr>
        <w:pStyle w:val="Normal"/>
        <w:spacing w:lineRule="auto" w:line="276" w:before="0" w:after="60"/>
        <w:rPr>
          <w:bCs/>
        </w:rPr>
      </w:pPr>
      <w:r>
        <w:rPr>
          <w:bCs/>
        </w:rPr>
      </w:r>
    </w:p>
    <w:p>
      <w:pPr>
        <w:pStyle w:val="Normal"/>
        <w:spacing w:lineRule="auto" w:line="276" w:before="0" w:after="60"/>
        <w:rPr/>
      </w:pPr>
      <w:r>
        <w:rPr/>
        <w:t>У оквиру појединих насељених места општине Беочин, издвајају се одређене стамбене целине као што су Беочин Град, Беочин Село и Шакотинац у насељу Беочин, Стари Раковац, Нови Раковац и Думбово у насељу Раковац, Бразилија у насељима Черевић и Беочин, Корушка у насељеним местима Баноштор и Сусек.</w:t>
      </w:r>
    </w:p>
    <w:p>
      <w:pPr>
        <w:pStyle w:val="Normal"/>
        <w:rPr>
          <w:lang w:val="ru-RU"/>
        </w:rPr>
      </w:pPr>
      <w:r>
        <w:rPr>
          <w:lang w:val="ru-RU"/>
        </w:rPr>
        <w:t xml:space="preserve">У погледу </w:t>
      </w:r>
      <w:r>
        <w:rPr>
          <w:b/>
          <w:lang w:val="ru-RU"/>
        </w:rPr>
        <w:t>националног састава</w:t>
      </w:r>
      <w:r>
        <w:rPr>
          <w:lang w:val="ru-RU"/>
        </w:rPr>
        <w:t xml:space="preserve">, становништво општине Беочин није хомогено. Срби су најзаступљенији и учествују у укупном становништву са </w:t>
      </w:r>
      <w:r>
        <w:rPr>
          <w:lang w:val="en-US"/>
        </w:rPr>
        <w:t xml:space="preserve">69 %, </w:t>
      </w:r>
      <w:r>
        <w:rPr>
          <w:lang w:val="ru-RU"/>
        </w:rPr>
        <w:t xml:space="preserve"> Роми учествују са </w:t>
      </w:r>
      <w:r>
        <w:rPr>
          <w:lang w:val="sr-Latn-RS"/>
        </w:rPr>
        <w:t>9</w:t>
      </w:r>
      <w:r>
        <w:rPr>
          <w:lang w:val="ru-RU"/>
        </w:rPr>
        <w:t xml:space="preserve">%, следе Словаци са </w:t>
      </w:r>
      <w:r>
        <w:rPr>
          <w:lang w:val="sr-Latn-RS"/>
        </w:rPr>
        <w:t>5,3</w:t>
      </w:r>
      <w:r>
        <w:rPr>
          <w:lang w:val="ru-RU"/>
        </w:rPr>
        <w:t>%,</w:t>
      </w:r>
      <w:r>
        <w:rPr>
          <w:lang w:val="sr-Latn-RS"/>
        </w:rPr>
        <w:t xml:space="preserve"> </w:t>
      </w:r>
      <w:r>
        <w:rPr>
          <w:lang w:val="ru-RU"/>
        </w:rPr>
        <w:t xml:space="preserve">Хрвати са </w:t>
      </w:r>
      <w:r>
        <w:rPr>
          <w:lang w:val="sr-Latn-RS"/>
        </w:rPr>
        <w:t>3</w:t>
      </w:r>
      <w:r>
        <w:rPr>
          <w:lang w:val="ru-RU"/>
        </w:rPr>
        <w:t>,</w:t>
      </w:r>
      <w:r>
        <w:rPr>
          <w:lang w:val="sr-Latn-RS"/>
        </w:rPr>
        <w:t>5</w:t>
      </w:r>
      <w:r>
        <w:rPr>
          <w:lang w:val="ru-RU"/>
        </w:rPr>
        <w:t xml:space="preserve">%, Југословени са </w:t>
      </w:r>
      <w:r>
        <w:rPr>
          <w:lang w:val="sr-Latn-RS"/>
        </w:rPr>
        <w:t>1</w:t>
      </w:r>
      <w:r>
        <w:rPr>
          <w:lang w:val="ru-RU"/>
        </w:rPr>
        <w:t>%, док на осталих 1</w:t>
      </w:r>
      <w:r>
        <w:rPr>
          <w:lang w:val="sr-Latn-RS"/>
        </w:rPr>
        <w:t>3</w:t>
      </w:r>
      <w:r>
        <w:rPr>
          <w:lang w:val="ru-RU"/>
        </w:rPr>
        <w:t xml:space="preserve"> нација (Црногорци, Албанци, Бошњаци, Бугари, Буњевци, Македонци, Муслимани, Немци, Румуни, Руси, Русини, Словенци</w:t>
      </w:r>
      <w:r>
        <w:rPr>
          <w:lang w:val="sr-Latn-RS"/>
        </w:rPr>
        <w:t xml:space="preserve"> и</w:t>
      </w:r>
      <w:r>
        <w:rPr>
          <w:lang w:val="ru-RU"/>
        </w:rPr>
        <w:t xml:space="preserve"> Укрјинци) отпада </w:t>
      </w:r>
      <w:r>
        <w:rPr/>
        <w:t>2</w:t>
      </w:r>
      <w:r>
        <w:rPr>
          <w:lang w:val="ru-RU"/>
        </w:rPr>
        <w:t xml:space="preserve">,2%. Осталих </w:t>
      </w:r>
      <w:r>
        <w:rPr/>
        <w:t>0,3</w:t>
      </w:r>
      <w:r>
        <w:rPr>
          <w:lang w:val="ru-RU"/>
        </w:rPr>
        <w:t>% становништва односи се на остале нације (</w:t>
      </w:r>
      <w:r>
        <w:rPr/>
        <w:t>52</w:t>
      </w:r>
      <w:r>
        <w:rPr>
          <w:lang w:val="ru-RU"/>
        </w:rPr>
        <w:t xml:space="preserve"> становник</w:t>
      </w:r>
      <w:r>
        <w:rPr/>
        <w:t>а</w:t>
      </w:r>
      <w:r>
        <w:rPr>
          <w:lang w:val="ru-RU"/>
        </w:rPr>
        <w:t>), неопредељене или по том питању неизјашњене</w:t>
      </w:r>
      <w:r>
        <w:rPr/>
        <w:t>, 4,58%</w:t>
      </w:r>
      <w:r>
        <w:rPr>
          <w:lang w:val="ru-RU"/>
        </w:rPr>
        <w:t xml:space="preserve"> (</w:t>
      </w:r>
      <w:r>
        <w:rPr/>
        <w:t>721 становник</w:t>
      </w:r>
      <w:r>
        <w:rPr>
          <w:lang w:val="ru-RU"/>
        </w:rPr>
        <w:t>), регионалне припадности</w:t>
      </w:r>
      <w:r>
        <w:rPr/>
        <w:t xml:space="preserve"> 1,65%</w:t>
      </w:r>
      <w:r>
        <w:rPr>
          <w:lang w:val="ru-RU"/>
        </w:rPr>
        <w:t xml:space="preserve"> (</w:t>
      </w:r>
      <w:r>
        <w:rPr/>
        <w:t>260 становника</w:t>
      </w:r>
      <w:r>
        <w:rPr>
          <w:lang w:val="ru-RU"/>
        </w:rPr>
        <w:t>) и непознато</w:t>
      </w:r>
      <w:r>
        <w:rPr/>
        <w:t xml:space="preserve"> </w:t>
      </w:r>
      <w:r>
        <w:rPr>
          <w:lang w:val="ru-RU"/>
        </w:rPr>
        <w:t xml:space="preserve"> (1</w:t>
      </w:r>
      <w:r>
        <w:rPr/>
        <w:t>19</w:t>
      </w:r>
      <w:r>
        <w:rPr>
          <w:lang w:val="ru-RU"/>
        </w:rPr>
        <w:t>). Са изузетком насеља Луг, где највећи део популације чини Словачка националност, у осталим насељима, посебно руралним великом већином становништво је српске националности</w:t>
      </w:r>
      <w:r>
        <w:rPr/>
        <w:t>.</w:t>
      </w:r>
      <w:r>
        <w:rPr>
          <w:lang w:val="ru-RU"/>
        </w:rPr>
        <w:t xml:space="preserve"> </w:t>
      </w:r>
    </w:p>
    <w:p>
      <w:pPr>
        <w:pStyle w:val="Normal"/>
        <w:rPr>
          <w:rFonts w:ascii="Arial Narrow" w:hAnsi="Arial Narrow"/>
        </w:rPr>
      </w:pPr>
      <w:r>
        <w:rPr>
          <w:rFonts w:ascii="Arial Narrow" w:hAnsi="Arial Narrow"/>
        </w:rPr>
      </w:r>
    </w:p>
    <w:p>
      <w:pPr>
        <w:pStyle w:val="Normal"/>
        <w:spacing w:lineRule="auto" w:line="276" w:before="0" w:after="0"/>
        <w:rPr>
          <w:bCs/>
        </w:rPr>
      </w:pPr>
      <w:r>
        <w:rPr>
          <w:bCs/>
        </w:rPr>
      </w:r>
    </w:p>
    <w:p>
      <w:pPr>
        <w:pStyle w:val="Normal"/>
        <w:rPr>
          <w:bCs/>
        </w:rPr>
      </w:pPr>
      <w:r>
        <w:rPr>
          <w:bCs/>
        </w:rPr>
      </w:r>
    </w:p>
    <w:p>
      <w:pPr>
        <w:pStyle w:val="Normal"/>
        <w:spacing w:lineRule="auto" w:line="276" w:before="0" w:after="200"/>
        <w:jc w:val="left"/>
        <w:rPr>
          <w:b/>
          <w:i/>
          <w:i/>
          <w:iCs/>
        </w:rPr>
      </w:pPr>
      <w:r>
        <w:rPr>
          <w:b/>
          <w:i/>
          <w:iCs/>
        </w:rPr>
      </w:r>
      <w:r>
        <w:br w:type="page"/>
      </w:r>
    </w:p>
    <w:p>
      <w:pPr>
        <w:pStyle w:val="Normal"/>
        <w:spacing w:before="0" w:after="0"/>
        <w:rPr>
          <w:bCs/>
        </w:rPr>
      </w:pPr>
      <w:r>
        <w:rPr>
          <w:bCs/>
        </w:rPr>
      </w:r>
    </w:p>
    <w:p>
      <w:pPr>
        <w:pStyle w:val="2"/>
        <w:rPr/>
      </w:pPr>
      <w:bookmarkStart w:id="6" w:name="_Toc184550027"/>
      <w:r>
        <w:rPr/>
        <w:t>Географски подаци</w:t>
      </w:r>
      <w:bookmarkEnd w:id="6"/>
    </w:p>
    <w:p>
      <w:pPr>
        <w:pStyle w:val="Normal"/>
        <w:rPr>
          <w:lang w:val="sr-CS"/>
        </w:rPr>
      </w:pPr>
      <w:r>
        <w:rPr>
          <w:lang w:val="sr-CS"/>
        </w:rPr>
        <w:t>Општина Беочин се налази у централном делу АП Војводине</w:t>
      </w:r>
      <w:r>
        <w:rPr>
          <w:lang w:val="ru-RU"/>
        </w:rPr>
        <w:t xml:space="preserve">, у </w:t>
      </w:r>
      <w:r>
        <w:rPr>
          <w:lang w:val="sr-CS"/>
        </w:rPr>
        <w:t>северозападном делу Србије. Територијално припада северном делу Срема, док је административно део Јужно-бачког округа. Северном границом Општине протиче река Дунав која дели Општинску територију од територије града Новог Сада. Јужну страну Општине обухватају обронци планине Фрушке горе.</w:t>
      </w:r>
      <w:r>
        <w:rPr>
          <w:lang w:val="sr-Latn-CS"/>
        </w:rPr>
        <w:t xml:space="preserve"> </w:t>
      </w:r>
      <w:r>
        <w:rPr>
          <w:lang w:val="sr-CS"/>
        </w:rPr>
        <w:t>Општина Беочин са северне стране</w:t>
      </w:r>
      <w:r>
        <w:rPr>
          <w:lang w:val="ru-RU"/>
        </w:rPr>
        <w:t xml:space="preserve"> </w:t>
      </w:r>
      <w:r>
        <w:rPr>
          <w:lang w:val="sr-CS"/>
        </w:rPr>
        <w:t>једним делом граничи са општином Бачки Петровац, на североистоку са општином Нови Сад и на северозападу са општином Бачка Паланка. Са југоисточне стране је општина Ириг, док са југозападне стране Беочин граничи са општином Сремска Митровица. Нови Сад, који је административни центар АП Војводине, удаљен је од Беочина 17 километара.</w:t>
      </w:r>
    </w:p>
    <w:p>
      <w:pPr>
        <w:pStyle w:val="Normal"/>
        <w:rPr>
          <w:rFonts w:ascii="Arial Narrow" w:hAnsi="Arial Narrow"/>
          <w:lang w:val="sr-CS"/>
        </w:rPr>
      </w:pPr>
      <w:r>
        <w:rPr>
          <w:lang w:val="sr-CS"/>
        </w:rPr>
        <w:t>Површина Општине је 186 км</w:t>
      </w:r>
      <w:r>
        <w:rPr>
          <w:vertAlign w:val="superscript"/>
          <w:lang w:val="sr-CS"/>
        </w:rPr>
        <w:t>2</w:t>
      </w:r>
      <w:r>
        <w:rPr>
          <w:lang w:val="sr-CS"/>
        </w:rPr>
        <w:t xml:space="preserve"> и једна је од најмањих општина у Јужно-Бачком округу. Укупан број становника по попису из 20</w:t>
      </w:r>
      <w:r>
        <w:rPr>
          <w:lang w:val="sr-Latn-RS"/>
        </w:rPr>
        <w:t>22</w:t>
      </w:r>
      <w:r>
        <w:rPr>
          <w:lang w:val="sr-CS"/>
        </w:rPr>
        <w:t xml:space="preserve">. године је </w:t>
      </w:r>
      <w:r>
        <w:rPr>
          <w:lang w:val="en-US"/>
        </w:rPr>
        <w:t>13.875</w:t>
      </w:r>
      <w:r>
        <w:rPr>
          <w:lang w:val="sr-CS"/>
        </w:rPr>
        <w:t>. На подручју Општине има осам катастарских општина, десет регистрованих месних заједница</w:t>
      </w:r>
      <w:r>
        <w:rPr>
          <w:lang w:val="sr-Latn-RS"/>
        </w:rPr>
        <w:t>.</w:t>
      </w:r>
      <w:r>
        <w:rPr>
          <w:lang w:val="sr-CS"/>
        </w:rPr>
        <w:t xml:space="preserve"> </w:t>
      </w:r>
    </w:p>
    <w:p>
      <w:pPr>
        <w:pStyle w:val="Normal"/>
        <w:spacing w:before="120" w:after="120"/>
        <w:rPr>
          <w:lang w:val="sr-CS"/>
        </w:rPr>
      </w:pPr>
      <w:r>
        <w:rPr>
          <w:lang w:val="sr-CS"/>
        </w:rPr>
        <w:t xml:space="preserve">Општина Беочин се налази између Фрушке горе и Дунава. Северном границом општине протиче река Дунав, која истовремено дели </w:t>
      </w:r>
      <w:r>
        <w:rPr>
          <w:lang w:val="sr-Latn-CS"/>
        </w:rPr>
        <w:t>О</w:t>
      </w:r>
      <w:r>
        <w:rPr>
          <w:lang w:val="sr-CS"/>
        </w:rPr>
        <w:t>пштину од територије града Новог Сада. Близина града Новог Сада и река Дунав су велике предности ове Општине. Нови Сад као административни, индустријски и трговински центар Војводине удаљен је од Беочина 17 километара.</w:t>
      </w:r>
    </w:p>
    <w:p>
      <w:pPr>
        <w:pStyle w:val="Normal"/>
        <w:rPr>
          <w:lang w:val="sr-CS"/>
        </w:rPr>
      </w:pPr>
      <w:r>
        <w:rPr>
          <w:lang w:val="sr-CS"/>
        </w:rPr>
        <w:t>Кроз саму Општину не пролази ни један међународни нити важнији покрајински пут.</w:t>
      </w:r>
      <w:r>
        <w:rPr>
          <w:color w:val="FF0000"/>
          <w:lang w:val="sr-CS"/>
        </w:rPr>
        <w:t xml:space="preserve"> </w:t>
      </w:r>
      <w:r>
        <w:rPr>
          <w:lang w:val="sr-CS"/>
        </w:rPr>
        <w:t xml:space="preserve">Постојећа изграђеност путева на локалном нивоу омогућава одвијање саобраћаја на задовољавајућем нивоу. Регионални путеви који пролазе територијом ове Општине су: пут Нови Сад </w:t>
      </w:r>
      <w:r>
        <w:rPr>
          <w:lang w:val="sr-Latn-CS"/>
        </w:rPr>
        <w:t>-</w:t>
      </w:r>
      <w:r>
        <w:rPr>
          <w:lang w:val="sr-CS"/>
        </w:rPr>
        <w:t xml:space="preserve"> Беочин </w:t>
      </w:r>
      <w:r>
        <w:rPr>
          <w:lang w:val="sr-Latn-CS"/>
        </w:rPr>
        <w:t>-</w:t>
      </w:r>
      <w:r>
        <w:rPr>
          <w:lang w:val="sr-CS"/>
        </w:rPr>
        <w:t xml:space="preserve"> граница Хрватске (на свега 15 км од Општине, на западу, налази се гранични прелаз са Р</w:t>
      </w:r>
      <w:r>
        <w:rPr>
          <w:lang w:val="sr-Latn-CS"/>
        </w:rPr>
        <w:t>.</w:t>
      </w:r>
      <w:r>
        <w:rPr>
          <w:lang w:val="sr-CS"/>
        </w:rPr>
        <w:t xml:space="preserve"> Хрватском код Илока), затим пут Ириг </w:t>
      </w:r>
      <w:r>
        <w:rPr>
          <w:lang w:val="sr-Latn-CS"/>
        </w:rPr>
        <w:t>-</w:t>
      </w:r>
      <w:r>
        <w:rPr>
          <w:lang w:val="sr-CS"/>
        </w:rPr>
        <w:t xml:space="preserve"> Врдник </w:t>
      </w:r>
      <w:r>
        <w:rPr>
          <w:lang w:val="sr-Latn-CS"/>
        </w:rPr>
        <w:t>-</w:t>
      </w:r>
      <w:r>
        <w:rPr>
          <w:lang w:val="sr-CS"/>
        </w:rPr>
        <w:t xml:space="preserve"> Раковац, који је важна саобраћајница овог дела Срема и пут до Сремске Митровице.</w:t>
      </w:r>
    </w:p>
    <w:p>
      <w:pPr>
        <w:pStyle w:val="Normal"/>
        <w:rPr/>
      </w:pPr>
      <w:r>
        <w:rPr>
          <w:lang w:val="sr-CS"/>
        </w:rPr>
        <w:t xml:space="preserve">Квалитетним локалним путем Беочин - Петроварадин, Општина је повезана са старим новосадским путем са Београдом, који је удаљен 78 </w:t>
      </w:r>
      <w:r>
        <w:rPr>
          <w:lang w:val="sr-Latn-CS"/>
        </w:rPr>
        <w:t>km</w:t>
      </w:r>
      <w:r>
        <w:rPr>
          <w:lang w:val="sr-CS"/>
        </w:rPr>
        <w:t xml:space="preserve"> од Београда. </w:t>
      </w:r>
    </w:p>
    <w:p>
      <w:pPr>
        <w:pStyle w:val="Normal"/>
        <w:rPr>
          <w:spacing w:val="-4"/>
          <w:lang w:val="sr-CS"/>
        </w:rPr>
      </w:pPr>
      <w:r>
        <w:rPr>
          <w:spacing w:val="-4"/>
          <w:lang w:val="sr-CS"/>
        </w:rPr>
        <w:t>Најзначајнија саобраћајница је ауто пут Београд</w:t>
      </w:r>
      <w:r>
        <w:rPr>
          <w:spacing w:val="-4"/>
          <w:lang w:val="sr-Latn-CS"/>
        </w:rPr>
        <w:t xml:space="preserve"> </w:t>
      </w:r>
      <w:r>
        <w:rPr>
          <w:spacing w:val="-4"/>
          <w:lang w:val="sr-CS"/>
        </w:rPr>
        <w:t>-</w:t>
      </w:r>
      <w:r>
        <w:rPr>
          <w:spacing w:val="-4"/>
          <w:lang w:val="sr-Latn-CS"/>
        </w:rPr>
        <w:t xml:space="preserve"> </w:t>
      </w:r>
      <w:r>
        <w:rPr>
          <w:spacing w:val="-4"/>
          <w:lang w:val="sr-CS"/>
        </w:rPr>
        <w:t xml:space="preserve">Нови Сад који је удаљен 17 </w:t>
      </w:r>
      <w:r>
        <w:rPr>
          <w:spacing w:val="-4"/>
          <w:lang w:val="sr-Latn-CS"/>
        </w:rPr>
        <w:t>km</w:t>
      </w:r>
      <w:r>
        <w:rPr>
          <w:spacing w:val="-4"/>
          <w:lang w:val="sr-CS"/>
        </w:rPr>
        <w:t xml:space="preserve"> од Општине. Овим ауто путем се успоставља веза са северним делом Србије преко ауто пута Нови Сад</w:t>
      </w:r>
      <w:r>
        <w:rPr>
          <w:spacing w:val="-4"/>
          <w:lang w:val="ru-RU"/>
        </w:rPr>
        <w:t xml:space="preserve"> </w:t>
      </w:r>
      <w:r>
        <w:rPr>
          <w:spacing w:val="-4"/>
          <w:lang w:val="sr-CS"/>
        </w:rPr>
        <w:t>-</w:t>
      </w:r>
      <w:r>
        <w:rPr>
          <w:spacing w:val="-4"/>
          <w:lang w:val="ru-RU"/>
        </w:rPr>
        <w:t xml:space="preserve"> </w:t>
      </w:r>
      <w:r>
        <w:rPr>
          <w:spacing w:val="-4"/>
          <w:lang w:val="sr-CS"/>
        </w:rPr>
        <w:t>Суботица, као и са јужним и западним делом Србије преко ауто пута Београд</w:t>
      </w:r>
      <w:r>
        <w:rPr>
          <w:spacing w:val="-4"/>
          <w:lang w:val="ru-RU"/>
        </w:rPr>
        <w:t xml:space="preserve"> </w:t>
      </w:r>
      <w:r>
        <w:rPr>
          <w:spacing w:val="-4"/>
          <w:lang w:val="sr-CS"/>
        </w:rPr>
        <w:t>-</w:t>
      </w:r>
      <w:r>
        <w:rPr>
          <w:spacing w:val="-4"/>
          <w:lang w:val="ru-RU"/>
        </w:rPr>
        <w:t xml:space="preserve"> </w:t>
      </w:r>
      <w:r>
        <w:rPr>
          <w:spacing w:val="-4"/>
          <w:lang w:val="sr-CS"/>
        </w:rPr>
        <w:t>Ниш и Ибарске магистрале.</w:t>
      </w:r>
    </w:p>
    <w:p>
      <w:pPr>
        <w:pStyle w:val="Normal"/>
        <w:rPr>
          <w:lang w:val="sr-CS"/>
        </w:rPr>
      </w:pPr>
      <w:r>
        <w:rPr>
          <w:lang w:val="sr-CS"/>
        </w:rPr>
        <w:t xml:space="preserve">Сам град Беочин је изграђен у непосредној близини реке Дунав. Дунав је међународна и пловна река, али лука која постоји у Беочину нема интернационални статус и углавном се не користи за речни транспорт. Фабрика цемента Лафарж БФЦ у будућности планира користити овај вид транспорта, као далеко јефтинији вид транспорта за своје производе.  </w:t>
      </w:r>
    </w:p>
    <w:p>
      <w:pPr>
        <w:pStyle w:val="Normal"/>
        <w:rPr>
          <w:lang w:val="ru-RU"/>
        </w:rPr>
      </w:pPr>
      <w:r>
        <w:rPr>
          <w:lang w:val="sr-CS"/>
        </w:rPr>
        <w:t xml:space="preserve">Железнички колосек од Беочина до Новог Сада коришћен </w:t>
      </w:r>
      <w:r>
        <w:rPr>
          <w:lang w:val="sr-RS"/>
        </w:rPr>
        <w:t xml:space="preserve">је </w:t>
      </w:r>
      <w:r>
        <w:rPr>
          <w:lang w:val="sr-CS"/>
        </w:rPr>
        <w:t xml:space="preserve">за транспорт производа фабрике цемента, </w:t>
      </w:r>
      <w:r>
        <w:rPr>
          <w:lang w:val="sr-RS"/>
        </w:rPr>
        <w:t>али сада више није</w:t>
      </w:r>
      <w:r>
        <w:rPr>
          <w:lang w:val="sr-CS"/>
        </w:rPr>
        <w:t xml:space="preserve"> у функцији. </w:t>
      </w:r>
    </w:p>
    <w:p>
      <w:pPr>
        <w:pStyle w:val="Normal"/>
        <w:rPr>
          <w:lang w:val="sr-CS"/>
        </w:rPr>
      </w:pPr>
      <w:r>
        <w:rPr>
          <w:lang w:val="sr-CS"/>
        </w:rPr>
      </w:r>
    </w:p>
    <w:p>
      <w:pPr>
        <w:pStyle w:val="Normal"/>
        <w:rPr/>
      </w:pPr>
      <w:r>
        <w:rPr/>
      </w:r>
    </w:p>
    <w:p>
      <w:pPr>
        <w:pStyle w:val="2"/>
        <w:rPr/>
      </w:pPr>
      <w:bookmarkStart w:id="7" w:name="_Toc184550028"/>
      <w:r>
        <w:rPr/>
        <w:t>Историјски подаци</w:t>
      </w:r>
      <w:bookmarkEnd w:id="7"/>
    </w:p>
    <w:p>
      <w:pPr>
        <w:pStyle w:val="Normal"/>
        <w:rPr/>
      </w:pPr>
      <w:r>
        <w:rPr/>
      </w:r>
    </w:p>
    <w:p>
      <w:pPr>
        <w:pStyle w:val="Normal"/>
        <w:rPr>
          <w:lang w:val="sr-CS"/>
        </w:rPr>
      </w:pPr>
      <w:r>
        <w:rPr/>
        <w:t xml:space="preserve"> </w:t>
      </w:r>
      <w:r>
        <w:rPr>
          <w:lang w:val="sr-CS"/>
        </w:rPr>
        <w:t xml:space="preserve">У камено и метално доба су на територији данашњег Беочина постојала праисторијска насеља. У овом подручју се налазило насеље Јасита за време Римљана. Беочин се у Средњем веку спомиње као једно од утврђења саграђених ради отпора Турцима. У документу из 1702. године насеље се помиње као Белчин. Настанак данашњег Беочина се везује за 1839. годину када је изграђена фабрика цемента браће Оренштајн. Оснивачи и први становници овог насеља били су рудари и радници који су градили фабрику. Касније од те мале фабрике настаје Беочинска фабрика цемента </w:t>
      </w:r>
      <w:r>
        <w:rPr>
          <w:spacing w:val="-2"/>
          <w:lang w:val="sr-CS"/>
        </w:rPr>
        <w:t>– садашњи Лафарж БФЦ. Ова цементара је најстарија цементара на Балкану и међу најстаријим у Европи.</w:t>
      </w:r>
    </w:p>
    <w:p>
      <w:pPr>
        <w:pStyle w:val="Normal"/>
        <w:rPr>
          <w:lang w:val="ru-RU"/>
        </w:rPr>
      </w:pPr>
      <w:r>
        <w:rPr>
          <w:lang w:val="sr-CS"/>
        </w:rPr>
        <w:t>На подручју општине Беочин има 8 насељених места:</w:t>
      </w:r>
      <w:r>
        <w:rPr>
          <w:color w:val="0000FF"/>
          <w:lang w:val="sr-CS"/>
        </w:rPr>
        <w:t xml:space="preserve"> </w:t>
      </w:r>
      <w:r>
        <w:rPr>
          <w:lang w:val="sr-CS"/>
        </w:rPr>
        <w:t xml:space="preserve">Беочин, Раковац, Черевић, Баноштор, Сусек, Свилош, Грабово и Луг. Просечна величина насеља је 23,3 </w:t>
      </w:r>
      <w:r>
        <w:rPr>
          <w:lang w:val="sr-Latn-CS"/>
        </w:rPr>
        <w:t>km</w:t>
      </w:r>
      <w:r>
        <w:rPr>
          <w:lang w:val="sr-CS"/>
        </w:rPr>
        <w:t>².</w:t>
      </w:r>
      <w:r>
        <w:rPr>
          <w:color w:val="0000FF"/>
          <w:lang w:val="ru-RU"/>
        </w:rPr>
        <w:t xml:space="preserve"> </w:t>
      </w:r>
      <w:r>
        <w:rPr>
          <w:lang w:val="ru-RU"/>
        </w:rPr>
        <w:t>Територијално највеће катастарске општине су Сусек (3</w:t>
      </w:r>
      <w:r>
        <w:rPr>
          <w:lang w:val="sr-Latn-CS"/>
        </w:rPr>
        <w:t>.</w:t>
      </w:r>
      <w:r>
        <w:rPr>
          <w:lang w:val="ru-RU"/>
        </w:rPr>
        <w:t xml:space="preserve">940,7 </w:t>
      </w:r>
      <w:r>
        <w:rPr>
          <w:lang w:val="sr-Latn-CS"/>
        </w:rPr>
        <w:t>ha</w:t>
      </w:r>
      <w:r>
        <w:rPr>
          <w:lang w:val="ru-RU"/>
        </w:rPr>
        <w:t>), Беочин (3</w:t>
      </w:r>
      <w:r>
        <w:rPr>
          <w:lang w:val="sr-Latn-CS"/>
        </w:rPr>
        <w:t>.</w:t>
      </w:r>
      <w:r>
        <w:rPr>
          <w:lang w:val="ru-RU"/>
        </w:rPr>
        <w:t>505,6 ха) и Черевић (3</w:t>
      </w:r>
      <w:r>
        <w:rPr>
          <w:lang w:val="sr-Latn-CS"/>
        </w:rPr>
        <w:t>.</w:t>
      </w:r>
      <w:r>
        <w:rPr>
          <w:lang w:val="ru-RU"/>
        </w:rPr>
        <w:t xml:space="preserve">263,6 </w:t>
      </w:r>
      <w:r>
        <w:rPr>
          <w:lang w:val="sr-Latn-CS"/>
        </w:rPr>
        <w:t>ha</w:t>
      </w:r>
      <w:r>
        <w:rPr>
          <w:lang w:val="ru-RU"/>
        </w:rPr>
        <w:t xml:space="preserve">). Територијално најмање насељено место је Луг са површином од 996,5 </w:t>
      </w:r>
      <w:r>
        <w:rPr>
          <w:lang w:val="sr-Latn-CS"/>
        </w:rPr>
        <w:t>ha</w:t>
      </w:r>
      <w:r>
        <w:rPr>
          <w:lang w:val="ru-RU"/>
        </w:rPr>
        <w:t>. По броју становника, највећа насеља су Беочин (</w:t>
      </w:r>
      <w:r>
        <w:rPr>
          <w:lang w:val="sr-Latn-RS"/>
        </w:rPr>
        <w:t>7.839</w:t>
      </w:r>
      <w:r>
        <w:rPr>
          <w:lang w:val="ru-RU"/>
        </w:rPr>
        <w:t>), Черевић (</w:t>
      </w:r>
      <w:r>
        <w:rPr>
          <w:lang w:val="sr-Latn-RS"/>
        </w:rPr>
        <w:t>2.800</w:t>
      </w:r>
      <w:r>
        <w:rPr>
          <w:lang w:val="ru-RU"/>
        </w:rPr>
        <w:t>) и Раковац (</w:t>
      </w:r>
      <w:r>
        <w:rPr>
          <w:lang w:val="sr-Latn-RS"/>
        </w:rPr>
        <w:t>2.248</w:t>
      </w:r>
      <w:r>
        <w:rPr>
          <w:lang w:val="ru-RU"/>
        </w:rPr>
        <w:t xml:space="preserve">). Најмањи број становника има насеље Грабово само </w:t>
      </w:r>
      <w:r>
        <w:rPr>
          <w:lang w:val="sr-Latn-RS"/>
        </w:rPr>
        <w:t>100</w:t>
      </w:r>
      <w:r>
        <w:rPr>
          <w:lang w:val="ru-RU"/>
        </w:rPr>
        <w:t xml:space="preserve"> становника. Беочин је једино градско насеље и преставља административни центар Општине. Општина је правоугаоног облика и простире се у правцу север-југ 7 до 10 километара, док  је </w:t>
      </w:r>
      <w:r>
        <w:rPr>
          <w:color w:val="000000"/>
          <w:lang w:val="sr-CS"/>
        </w:rPr>
        <w:t xml:space="preserve">издужена у правцу </w:t>
      </w:r>
      <w:r>
        <w:rPr>
          <w:color w:val="000000"/>
          <w:lang w:val="ru-RU"/>
        </w:rPr>
        <w:t>исток - запад 27 километара.</w:t>
      </w:r>
      <w:r>
        <w:rPr>
          <w:lang w:val="ru-RU"/>
        </w:rPr>
        <w:t xml:space="preserve">   </w:t>
      </w:r>
    </w:p>
    <w:p>
      <w:pPr>
        <w:pStyle w:val="Normal"/>
        <w:rPr>
          <w:lang w:val="en-US"/>
        </w:rPr>
      </w:pPr>
      <w:r>
        <w:rPr>
          <w:lang w:val="en-US"/>
        </w:rPr>
        <w:t>Једна од највећих предности Општине Беочин је близина града Новог Сада који је административни, индустриски и трговински центар АП Војводине</w:t>
      </w:r>
    </w:p>
    <w:p>
      <w:pPr>
        <w:pStyle w:val="Normal"/>
        <w:rPr/>
      </w:pPr>
      <w:r>
        <w:rPr/>
      </w:r>
    </w:p>
    <w:p>
      <w:pPr>
        <w:pStyle w:val="2"/>
        <w:rPr/>
      </w:pPr>
      <w:bookmarkStart w:id="8" w:name="_Toc184550029"/>
      <w:r>
        <w:rPr/>
        <w:t>Инфраструктурни подаци</w:t>
      </w:r>
      <w:bookmarkEnd w:id="8"/>
    </w:p>
    <w:p>
      <w:pPr>
        <w:pStyle w:val="Normal"/>
        <w:ind w:left="576" w:hanging="0"/>
        <w:rPr/>
      </w:pPr>
      <w:r>
        <w:rPr/>
      </w:r>
    </w:p>
    <w:p>
      <w:pPr>
        <w:pStyle w:val="Normal"/>
        <w:rPr/>
      </w:pPr>
      <w:r>
        <w:rPr/>
        <w:t xml:space="preserve"> </w:t>
      </w:r>
    </w:p>
    <w:p>
      <w:pPr>
        <w:pStyle w:val="Normal"/>
        <w:spacing w:before="240" w:after="120"/>
        <w:rPr>
          <w:i/>
          <w:i/>
          <w:color w:val="4F81BD" w:themeColor="accent1"/>
          <w:lang w:val="sr-Latn-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Cs/>
          <w: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3.3.1 </w:t>
      </w:r>
      <w:r>
        <w:rPr>
          <w:bCs/>
          <w:i/>
          <w:color w:val="4F81BD" w:themeColor="accent1"/>
          <w:lang w:val="sr-Latn-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Снабдевање електричном енергијом </w:t>
      </w:r>
    </w:p>
    <w:p>
      <w:pPr>
        <w:pStyle w:val="Normal"/>
        <w:rPr>
          <w:lang w:val="ru-RU"/>
        </w:rPr>
      </w:pPr>
      <w:r>
        <w:rPr>
          <w:color w:val="000000"/>
          <w:lang w:val="ru-RU"/>
        </w:rPr>
        <w:t xml:space="preserve">Међу трансформисаним видовима енергије најзаступљенија је електрична енергија. Њен дистрибутер за подручје АП Војводине је ЈП „Електровојводина“ из Новог Сада, које преузима електричну енергију из јединственог републичког електроенергетског система, којим управља ЈП „Електропривреда Србије“ са седиштем у </w:t>
      </w:r>
      <w:r>
        <w:rPr>
          <w:color w:val="000000"/>
          <w:lang w:val="sr-RS"/>
        </w:rPr>
        <w:t>Београду</w:t>
      </w:r>
      <w:r>
        <w:rPr>
          <w:color w:val="000000"/>
          <w:lang w:val="ru-RU"/>
        </w:rPr>
        <w:t xml:space="preserve">. Коначна дистрибуција електичне енергије до крајњих потрошача се обавља на два начина: а) посредством десет електродистрибутивних предузећа која се налазе у саставу ЈП „Електровојводина“, а где општину Беочин опслужује ЕД „Нови Сад“, б) директним снабдевањем највећих индустријских корисника на територији општине </w:t>
      </w:r>
      <w:r>
        <w:rPr>
          <w:lang w:val="ru-RU"/>
        </w:rPr>
        <w:t xml:space="preserve">Беочин, међу којима је и компанија „БФЦ Лафарге“, од стране ЈП „Електровојводина“. На простору Општине постоји изграђена преносна средњенапонска мрежа 35 </w:t>
      </w:r>
      <w:r>
        <w:rPr>
          <w:lang w:val="sr-Latn-CS"/>
        </w:rPr>
        <w:t>kV</w:t>
      </w:r>
      <w:r>
        <w:rPr>
          <w:lang w:val="ru-RU"/>
        </w:rPr>
        <w:t xml:space="preserve">, 20 </w:t>
      </w:r>
      <w:r>
        <w:rPr>
          <w:lang w:val="sr-Latn-CS"/>
        </w:rPr>
        <w:t>kV</w:t>
      </w:r>
      <w:r>
        <w:rPr>
          <w:lang w:val="ru-RU"/>
        </w:rPr>
        <w:t xml:space="preserve"> и 10 </w:t>
      </w:r>
      <w:r>
        <w:rPr>
          <w:lang w:val="sr-Latn-CS"/>
        </w:rPr>
        <w:t>kV</w:t>
      </w:r>
      <w:r>
        <w:rPr>
          <w:lang w:val="ru-RU"/>
        </w:rPr>
        <w:t xml:space="preserve">, као и нисконапонска (секундарне) мрежа 0,4 </w:t>
      </w:r>
      <w:r>
        <w:rPr>
          <w:lang w:val="sr-Latn-CS"/>
        </w:rPr>
        <w:t>kV</w:t>
      </w:r>
      <w:r>
        <w:rPr>
          <w:lang w:val="ru-RU"/>
        </w:rPr>
        <w:t xml:space="preserve">, и њима припадајуће трафостанице. Средњенапонска мрежа је претежно надземног карактера, са краћим подземним деоницама. Највећи део средњенапонске мреже је прилагођен за рад под 10 </w:t>
      </w:r>
      <w:r>
        <w:rPr>
          <w:lang w:val="sr-Latn-CS"/>
        </w:rPr>
        <w:t>kV</w:t>
      </w:r>
      <w:r>
        <w:rPr>
          <w:lang w:val="ru-RU"/>
        </w:rPr>
        <w:t xml:space="preserve"> напоном, док је њен мањи део  прилагођен 20 </w:t>
      </w:r>
      <w:r>
        <w:rPr>
          <w:lang w:val="sr-Latn-CS"/>
        </w:rPr>
        <w:t>kV</w:t>
      </w:r>
      <w:r>
        <w:rPr>
          <w:lang w:val="ru-RU"/>
        </w:rPr>
        <w:t xml:space="preserve"> напонском нивоу. </w:t>
      </w:r>
    </w:p>
    <w:p>
      <w:pPr>
        <w:pStyle w:val="3"/>
        <w:numPr>
          <w:ilvl w:val="0"/>
          <w:numId w:val="0"/>
        </w:numPr>
        <w:spacing w:before="200" w:after="120"/>
        <w:ind w:left="720" w:hanging="720"/>
        <w:rPr>
          <w:rFonts w:ascii="Calibri" w:hAnsi="Calibri" w:cs="Calibri" w:asciiTheme="minorHAnsi" w:cstheme="minorHAnsi" w:hAnsiTheme="minorHAnsi"/>
          <w:i/>
          <w:i/>
          <w:iCs/>
        </w:rPr>
      </w:pPr>
      <w:bookmarkStart w:id="9" w:name="_Toc184550030"/>
      <w:r>
        <w:rPr>
          <w:rFonts w:cs="Calibri" w:ascii="Calibri" w:hAnsi="Calibri" w:asciiTheme="minorHAnsi" w:cstheme="minorHAnsi" w:hAnsiTheme="minorHAnsi"/>
          <w:lang w:val="ru-RU"/>
        </w:rPr>
        <w:t xml:space="preserve">3.3.2 </w:t>
      </w:r>
      <w:r>
        <w:rPr>
          <w:rFonts w:cs="Calibri" w:ascii="Calibri" w:hAnsi="Calibri" w:asciiTheme="minorHAnsi" w:cstheme="minorHAnsi" w:hAnsiTheme="minorHAnsi"/>
          <w:i/>
          <w:iCs/>
        </w:rPr>
        <w:t>Гасоводна мрежа</w:t>
      </w:r>
      <w:bookmarkEnd w:id="9"/>
    </w:p>
    <w:p>
      <w:pPr>
        <w:pStyle w:val="Normal"/>
        <w:rPr>
          <w:b/>
          <w:bCs/>
          <w:lang w:val="ru-RU"/>
        </w:rPr>
      </w:pPr>
      <w:r>
        <w:rPr>
          <w:lang w:val="ru-RU"/>
        </w:rPr>
        <w:t xml:space="preserve">Снабдевач свих потенцијалних потрошача, конзумног подручја Војводине, природним гасом је ЈП „НИС </w:t>
      </w:r>
      <w:r>
        <w:rPr>
          <w:lang w:val="sr-Latn-CS"/>
        </w:rPr>
        <w:t>-</w:t>
      </w:r>
      <w:r>
        <w:rPr>
          <w:lang w:val="ru-RU"/>
        </w:rPr>
        <w:t xml:space="preserve"> гас“ из Новог Сада. Дистрибуција гаса ка већим „технолошким“ потрошачима (индустрији, комуналној енергетици и другима) се врши трасом гасовода високог притиска уз директно снабдевање, док се остали потрошачи снабдевају посредством 32 независна дистрибутивна предузећа. Дистрибуцију природног гаса на подручју општини Беочин спроводи ДП „Нови Сад – Гас“ из Новог Сада, које поред дистрибуције овог енергента врши и услуге изградње и одржавања магистралних водова, гасних инсталација и кућних гасних прикључака.</w:t>
      </w:r>
    </w:p>
    <w:p>
      <w:pPr>
        <w:pStyle w:val="Normal"/>
        <w:rPr/>
      </w:pPr>
      <w:r>
        <w:rPr>
          <w:lang w:val="ru-RU"/>
        </w:rPr>
        <w:t>Територију општине Беочин покривају следећи гасоводни правци:</w:t>
      </w:r>
    </w:p>
    <w:p>
      <w:pPr>
        <w:pStyle w:val="Normal"/>
        <w:rPr/>
      </w:pPr>
      <w:r>
        <w:rPr/>
      </w:r>
    </w:p>
    <w:p>
      <w:pPr>
        <w:pStyle w:val="Normal"/>
        <w:numPr>
          <w:ilvl w:val="0"/>
          <w:numId w:val="16"/>
        </w:numPr>
        <w:tabs>
          <w:tab w:val="clear" w:pos="720"/>
        </w:tabs>
        <w:spacing w:before="0" w:after="0"/>
        <w:ind w:left="357" w:hanging="357"/>
        <w:rPr>
          <w:lang w:val="ru-RU"/>
        </w:rPr>
      </w:pPr>
      <w:r>
        <w:rPr>
          <w:lang w:val="ru-RU"/>
        </w:rPr>
        <w:t>гасовод високог притиска (разводни гасовод РГ 02-08) на релацији Госпођинци - Беочин (до главне мернорегулационе станице ''Беочин'' у центру насеља Беочин), који је намењен снабдевању свих потрошача на територији општине Беочин земним гасом;</w:t>
      </w:r>
    </w:p>
    <w:p>
      <w:pPr>
        <w:pStyle w:val="Normal"/>
        <w:numPr>
          <w:ilvl w:val="0"/>
          <w:numId w:val="16"/>
        </w:numPr>
        <w:tabs>
          <w:tab w:val="clear" w:pos="720"/>
        </w:tabs>
        <w:spacing w:before="0" w:after="0"/>
        <w:ind w:left="357" w:hanging="357"/>
        <w:rPr>
          <w:lang w:val="ru-RU"/>
        </w:rPr>
      </w:pPr>
      <w:r>
        <w:rPr>
          <w:lang w:val="ru-RU"/>
        </w:rPr>
        <w:t>разводни гасоводи средњег притиска за насеља Черевић, Баноштор, Сусек, Беочин Село, Раковац и Думбово.</w:t>
      </w:r>
    </w:p>
    <w:p>
      <w:pPr>
        <w:pStyle w:val="Normal"/>
        <w:rPr>
          <w:lang w:val="ru-RU"/>
        </w:rPr>
      </w:pPr>
      <w:r>
        <w:rPr>
          <w:lang w:val="ru-RU"/>
        </w:rPr>
        <w:t>На територији Општине изграђено је осам мернорегулационих станица и једна главна мернорегулациона станица. Гасификована су сва постојећа насеља, осим викенд зоне Корушка. Постојећа инфраструктура гасоводне мреже, са расположивим капацитетима тренутно задовољава садашњи ниво потреба становништва и индустрије за земним гасом, али пружа могућности накнадног проширења гасоводног система.</w:t>
      </w:r>
    </w:p>
    <w:p>
      <w:pPr>
        <w:pStyle w:val="Normal"/>
        <w:rPr>
          <w:lang w:val="ru-RU"/>
        </w:rPr>
      </w:pPr>
      <w:r>
        <w:rPr>
          <w:lang w:val="ru-RU"/>
        </w:rPr>
      </w:r>
    </w:p>
    <w:p>
      <w:pPr>
        <w:pStyle w:val="Normal"/>
        <w:spacing w:before="360" w:after="240"/>
        <w:rPr>
          <w:color w:val="4F81BD" w:themeColor="accent1"/>
          <w:lang w:val="sr-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Pr>
          <w:color w:val="4F81BD"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w:t>
      </w:r>
      <w:r>
        <w:rPr>
          <w:color w:val="4F81BD"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i/>
          <w:iCs/>
          <w:color w:val="4F81BD" w:themeColor="accent1"/>
          <w:lang w:val="sr-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В</w:t>
      </w:r>
      <w:r>
        <w:rPr>
          <w:i/>
          <w:iCs/>
          <w:color w:val="4F81BD"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одопривредна инфраструктура</w:t>
      </w:r>
      <w:r>
        <w:rPr>
          <w:color w:val="4F81BD"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i/>
          <w:iCs/>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и канализација</w:t>
      </w:r>
      <w:r>
        <w:rPr>
          <w:color w:val="4F81BD" w:themeColor="accent1"/>
          <w:lang w:val="sr-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color w:val="4F81BD"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pPr>
        <w:pStyle w:val="Normal"/>
        <w:rPr>
          <w:lang w:val="ru-RU"/>
        </w:rPr>
      </w:pPr>
      <w:r>
        <w:rPr>
          <w:lang w:val="ru-RU"/>
        </w:rPr>
        <w:t xml:space="preserve">На подручју општине Беочин капацитет за експлоатацију подземних вода за потребе водоснабдевања становништва и привредних субјеката је око </w:t>
      </w:r>
      <w:r>
        <w:rPr/>
        <w:t>Q</w:t>
      </w:r>
      <w:r>
        <w:rPr>
          <w:lang w:val="ru-RU"/>
        </w:rPr>
        <w:t xml:space="preserve">=55 </w:t>
      </w:r>
      <w:r>
        <w:rPr/>
        <w:t>l</w:t>
      </w:r>
      <w:r>
        <w:rPr>
          <w:lang w:val="ru-RU"/>
        </w:rPr>
        <w:t>/</w:t>
      </w:r>
      <w:r>
        <w:rPr>
          <w:lang w:val="sr-Latn-CS"/>
        </w:rPr>
        <w:t>s</w:t>
      </w:r>
      <w:r>
        <w:rPr>
          <w:lang w:val="ru-RU"/>
        </w:rPr>
        <w:t>. За индивидуално снабдевање водом за пиће користи се око 110 копаних и бушених бунара и 40-ак каптираних извора.</w:t>
      </w:r>
    </w:p>
    <w:p>
      <w:pPr>
        <w:pStyle w:val="Normal"/>
        <w:rPr>
          <w:lang w:val="ru-RU"/>
        </w:rPr>
      </w:pPr>
      <w:r>
        <w:rPr>
          <w:lang w:val="ru-RU"/>
        </w:rPr>
        <w:t>Водоснабдевање на територији општине Беочин се обавља путем градског водовода који је под надлежношћу ЈКП Беочин. Овај водоводни систем покрива 5 месних заједница (Раковац, Беочин Село, Беочин Град, Бразилију и Черевић)</w:t>
      </w:r>
      <w:r>
        <w:rPr/>
        <w:t xml:space="preserve"> у укупној дужини од 87 км и</w:t>
      </w:r>
      <w:r>
        <w:rPr>
          <w:lang w:val="ru-RU"/>
        </w:rPr>
        <w:t xml:space="preserve"> са </w:t>
      </w:r>
      <w:r>
        <w:rPr/>
        <w:t>4.500 домаћинстава прикључених на водоводну мрежу.</w:t>
      </w:r>
      <w:r>
        <w:rPr>
          <w:lang w:val="ru-RU"/>
        </w:rPr>
        <w:t xml:space="preserve"> </w:t>
      </w:r>
      <w:r>
        <w:rPr>
          <w:lang w:val="sr-Latn-CS"/>
        </w:rPr>
        <w:t>Водоводна мрежа је просечне старости 30 година.</w:t>
      </w:r>
    </w:p>
    <w:p>
      <w:pPr>
        <w:pStyle w:val="Normal"/>
        <w:rPr>
          <w:lang w:val="sr-Latn-CS"/>
        </w:rPr>
      </w:pPr>
      <w:r>
        <w:rPr>
          <w:lang w:val="ru-RU"/>
        </w:rPr>
        <w:t xml:space="preserve">За водоснабдевање самог опшинског центра Беочин користи се један ’’рени’’ бунар са 8 хоризонталних дренова чији је капацитет </w:t>
      </w:r>
      <w:r>
        <w:rPr/>
        <w:t>Q</w:t>
      </w:r>
      <w:r>
        <w:rPr>
          <w:lang w:val="ru-RU"/>
        </w:rPr>
        <w:t xml:space="preserve">=180 </w:t>
      </w:r>
      <w:r>
        <w:rPr>
          <w:lang w:val="sr-Latn-CS"/>
        </w:rPr>
        <w:t>m</w:t>
      </w:r>
      <w:r>
        <w:rPr>
          <w:vertAlign w:val="superscript"/>
          <w:lang w:val="ru-RU"/>
        </w:rPr>
        <w:t>3</w:t>
      </w:r>
      <w:r>
        <w:rPr>
          <w:lang w:val="ru-RU"/>
        </w:rPr>
        <w:t>/</w:t>
      </w:r>
      <w:r>
        <w:rPr>
          <w:lang w:val="sr-Latn-CS"/>
        </w:rPr>
        <w:t>h</w:t>
      </w:r>
      <w:r>
        <w:rPr>
          <w:lang w:val="ru-RU"/>
        </w:rPr>
        <w:t>. Захвата се прерађена вода из приобалног дела Дунава. Вода на изворишту се карактерише повећаним садржајем гвожђа и мангана. Водоводна мрежа, укупне дужине 53.709</w:t>
      </w:r>
      <w:r>
        <w:rPr>
          <w:lang w:val="sr-Latn-CS"/>
        </w:rPr>
        <w:t xml:space="preserve"> m</w:t>
      </w:r>
      <w:r>
        <w:rPr>
          <w:lang w:val="ru-RU"/>
        </w:rPr>
        <w:t xml:space="preserve">, је стара око 30 година, а изграђена је од </w:t>
      </w:r>
      <w:r>
        <w:rPr>
          <w:lang w:val="sr-Latn-CS"/>
        </w:rPr>
        <w:t>AC</w:t>
      </w:r>
      <w:r>
        <w:rPr>
          <w:lang w:val="ru-RU"/>
        </w:rPr>
        <w:t xml:space="preserve"> цеви</w:t>
      </w:r>
      <w:r>
        <w:rPr>
          <w:lang w:val="sr-Latn-CS"/>
        </w:rPr>
        <w:t>,</w:t>
      </w:r>
      <w:r>
        <w:rPr>
          <w:lang w:val="ru-RU"/>
        </w:rPr>
        <w:t xml:space="preserve"> од Ø 500-250-60 </w:t>
      </w:r>
      <w:r>
        <w:rPr>
          <w:lang w:val="sr-Latn-CS"/>
        </w:rPr>
        <w:t>mm,</w:t>
      </w:r>
      <w:r>
        <w:rPr>
          <w:lang w:val="ru-RU"/>
        </w:rPr>
        <w:t xml:space="preserve"> поцинковане цеви 1’’-3’’, </w:t>
      </w:r>
      <w:r>
        <w:rPr>
          <w:lang w:val="sr-Latn-CS"/>
        </w:rPr>
        <w:t>PVC</w:t>
      </w:r>
      <w:r>
        <w:rPr>
          <w:lang w:val="ru-RU"/>
        </w:rPr>
        <w:t xml:space="preserve"> цеви Ø 300 </w:t>
      </w:r>
      <w:r>
        <w:rPr>
          <w:lang w:val="sr-Latn-CS"/>
        </w:rPr>
        <w:t>mm</w:t>
      </w:r>
      <w:r>
        <w:rPr>
          <w:lang w:val="ru-RU"/>
        </w:rPr>
        <w:t xml:space="preserve">, полиестер Ø 300 </w:t>
      </w:r>
      <w:r>
        <w:rPr>
          <w:lang w:val="sr-Latn-CS"/>
        </w:rPr>
        <w:t>mm</w:t>
      </w:r>
      <w:r>
        <w:rPr>
          <w:lang w:val="ru-RU"/>
        </w:rPr>
        <w:t xml:space="preserve">, окитен цеви 1’’-3’’, челичне цеви Ø 100 </w:t>
      </w:r>
      <w:r>
        <w:rPr>
          <w:lang w:val="sr-Latn-CS"/>
        </w:rPr>
        <w:t>mm</w:t>
      </w:r>
      <w:r>
        <w:rPr>
          <w:lang w:val="ru-RU"/>
        </w:rPr>
        <w:t xml:space="preserve">, ливене Ø 63 </w:t>
      </w:r>
      <w:r>
        <w:rPr>
          <w:lang w:val="sr-Latn-CS"/>
        </w:rPr>
        <w:t>mm</w:t>
      </w:r>
      <w:r>
        <w:rPr>
          <w:lang w:val="ru-RU"/>
        </w:rPr>
        <w:t xml:space="preserve">. </w:t>
      </w:r>
      <w:r>
        <w:rPr>
          <w:lang w:val="sr-Latn-CS"/>
        </w:rPr>
        <w:t xml:space="preserve"> </w:t>
      </w:r>
    </w:p>
    <w:p>
      <w:pPr>
        <w:pStyle w:val="Normal"/>
        <w:rPr>
          <w:lang w:val="ru-RU"/>
        </w:rPr>
      </w:pPr>
      <w:r>
        <w:rPr>
          <w:lang w:val="ru-RU"/>
        </w:rPr>
        <w:t>М</w:t>
      </w:r>
      <w:r>
        <w:rPr>
          <w:lang w:val="sr-CS"/>
        </w:rPr>
        <w:t>З</w:t>
      </w:r>
      <w:r>
        <w:rPr>
          <w:lang w:val="ru-RU"/>
        </w:rPr>
        <w:t xml:space="preserve"> Раковац снабдевање водом за пиће врши из два каптирана извора. Прво извориште ’’Шешћевац’’ које се налази на десној обали Раковачког потока има капацитет </w:t>
      </w:r>
      <w:r>
        <w:rPr/>
        <w:t>Q</w:t>
      </w:r>
      <w:r>
        <w:rPr>
          <w:lang w:val="ru-RU"/>
        </w:rPr>
        <w:t xml:space="preserve">=0,5 </w:t>
      </w:r>
      <w:r>
        <w:rPr>
          <w:lang w:val="sr-Latn-CS"/>
        </w:rPr>
        <w:t>l</w:t>
      </w:r>
      <w:r>
        <w:rPr>
          <w:lang w:val="ru-RU"/>
        </w:rPr>
        <w:t>/</w:t>
      </w:r>
      <w:r>
        <w:rPr>
          <w:lang w:val="sr-Latn-CS"/>
        </w:rPr>
        <w:t>s</w:t>
      </w:r>
      <w:r>
        <w:rPr>
          <w:lang w:val="ru-RU"/>
        </w:rPr>
        <w:t xml:space="preserve">. Друго извориште ’’Градина’’, лоцирано на левој страни Раковачког потока, је капацитета </w:t>
      </w:r>
      <w:r>
        <w:rPr/>
        <w:t>Q</w:t>
      </w:r>
      <w:r>
        <w:rPr>
          <w:lang w:val="ru-RU"/>
        </w:rPr>
        <w:t xml:space="preserve">=0,3 </w:t>
      </w:r>
      <w:r>
        <w:rPr>
          <w:lang w:val="sr-Latn-CS"/>
        </w:rPr>
        <w:t>l</w:t>
      </w:r>
      <w:r>
        <w:rPr>
          <w:lang w:val="ru-RU"/>
        </w:rPr>
        <w:t>/</w:t>
      </w:r>
      <w:r>
        <w:rPr>
          <w:lang w:val="sr-Latn-CS"/>
        </w:rPr>
        <w:t>s</w:t>
      </w:r>
      <w:r>
        <w:rPr>
          <w:lang w:val="ru-RU"/>
        </w:rPr>
        <w:t>.</w:t>
      </w:r>
    </w:p>
    <w:p>
      <w:pPr>
        <w:pStyle w:val="Normal"/>
        <w:rPr>
          <w:lang w:val="ru-RU"/>
        </w:rPr>
      </w:pPr>
      <w:r>
        <w:rPr>
          <w:lang w:val="ru-RU"/>
        </w:rPr>
        <w:t xml:space="preserve">Месна заједница Черевић се снабдева водом за пиће из три бунара укупног капацитета </w:t>
      </w:r>
      <w:r>
        <w:rPr/>
        <w:t>Q</w:t>
      </w:r>
      <w:r>
        <w:rPr>
          <w:lang w:val="ru-RU"/>
        </w:rPr>
        <w:t>=37</w:t>
      </w:r>
      <w:r>
        <w:rPr>
          <w:lang w:val="sr-Latn-CS"/>
        </w:rPr>
        <w:t>l</w:t>
      </w:r>
      <w:r>
        <w:rPr>
          <w:lang w:val="ru-RU"/>
        </w:rPr>
        <w:t>/</w:t>
      </w:r>
      <w:r>
        <w:rPr>
          <w:lang w:val="sr-Latn-CS"/>
        </w:rPr>
        <w:t>s</w:t>
      </w:r>
      <w:r>
        <w:rPr>
          <w:lang w:val="ru-RU"/>
        </w:rPr>
        <w:t>. Квалитет воде је лошег хемијског састава због чега је неопходна повећана употреба КМНО</w:t>
      </w:r>
      <w:r>
        <w:rPr>
          <w:vertAlign w:val="subscript"/>
          <w:lang w:val="ru-RU"/>
        </w:rPr>
        <w:t xml:space="preserve">4 </w:t>
      </w:r>
      <w:r>
        <w:rPr>
          <w:lang w:val="ru-RU"/>
        </w:rPr>
        <w:t>(калијум-перманганат) приликом кондиционирања воде.</w:t>
      </w:r>
    </w:p>
    <w:p>
      <w:pPr>
        <w:pStyle w:val="Normal"/>
        <w:rPr>
          <w:lang w:val="ru-RU"/>
        </w:rPr>
      </w:pPr>
      <w:r>
        <w:rPr>
          <w:lang w:val="ru-RU"/>
        </w:rPr>
        <w:t xml:space="preserve">Месне заједнице Баноштор, Свилош, Луг, Грабово и Сусек имају своје водоводне системе који нису под надлежношћу ЈКП-а Беочин. Снабдевање водом за пиће у селу Баноштор се врши из изворишта у северном делу села капацитета </w:t>
      </w:r>
      <w:r>
        <w:rPr/>
        <w:t>Q</w:t>
      </w:r>
      <w:r>
        <w:rPr>
          <w:lang w:val="ru-RU"/>
        </w:rPr>
        <w:t xml:space="preserve">=1,0 </w:t>
      </w:r>
      <w:r>
        <w:rPr>
          <w:lang w:val="sr-Latn-CS"/>
        </w:rPr>
        <w:t>l</w:t>
      </w:r>
      <w:r>
        <w:rPr>
          <w:lang w:val="ru-RU"/>
        </w:rPr>
        <w:t>/</w:t>
      </w:r>
      <w:r>
        <w:rPr>
          <w:lang w:val="sr-Latn-CS"/>
        </w:rPr>
        <w:t>s</w:t>
      </w:r>
      <w:r>
        <w:rPr>
          <w:lang w:val="ru-RU"/>
        </w:rPr>
        <w:t xml:space="preserve">. Вода овог изворишта има повећан садржај гвожђа. </w:t>
      </w:r>
    </w:p>
    <w:p>
      <w:pPr>
        <w:pStyle w:val="Normal"/>
        <w:rPr>
          <w:lang w:val="ru-RU"/>
        </w:rPr>
      </w:pPr>
      <w:r>
        <w:rPr>
          <w:lang w:val="ru-RU"/>
        </w:rPr>
        <w:t xml:space="preserve">Село Свилош се водом за пиће снабдева из каптираног извора издашности </w:t>
      </w:r>
      <w:r>
        <w:rPr/>
        <w:t>Q</w:t>
      </w:r>
      <w:r>
        <w:rPr>
          <w:lang w:val="ru-RU"/>
        </w:rPr>
        <w:t>=0,6 l/</w:t>
      </w:r>
      <w:r>
        <w:rPr>
          <w:lang w:val="sr-Latn-CS"/>
        </w:rPr>
        <w:t>s</w:t>
      </w:r>
      <w:r>
        <w:rPr>
          <w:lang w:val="ru-RU"/>
        </w:rPr>
        <w:t xml:space="preserve"> у коме квалитет подземне воде задовољава нормативе воде за пиће.</w:t>
      </w:r>
    </w:p>
    <w:p>
      <w:pPr>
        <w:pStyle w:val="Normal"/>
        <w:rPr>
          <w:lang w:val="ru-RU"/>
        </w:rPr>
      </w:pPr>
      <w:r>
        <w:rPr>
          <w:lang w:val="ru-RU"/>
        </w:rPr>
        <w:t xml:space="preserve">Село Грабово се водом за пиће снабдева из каптираног извора издашности око </w:t>
      </w:r>
      <w:r>
        <w:rPr/>
        <w:t>Q</w:t>
      </w:r>
      <w:r>
        <w:rPr>
          <w:lang w:val="ru-RU"/>
        </w:rPr>
        <w:t xml:space="preserve">=0,3 </w:t>
      </w:r>
      <w:r>
        <w:rPr>
          <w:lang w:val="sr-Latn-CS"/>
        </w:rPr>
        <w:t>l</w:t>
      </w:r>
      <w:r>
        <w:rPr>
          <w:lang w:val="ru-RU"/>
        </w:rPr>
        <w:t>/</w:t>
      </w:r>
      <w:r>
        <w:rPr>
          <w:lang w:val="sr-Latn-CS"/>
        </w:rPr>
        <w:t>s</w:t>
      </w:r>
      <w:r>
        <w:rPr>
          <w:lang w:val="ru-RU"/>
        </w:rPr>
        <w:t>. Извор је на локацији Ограде и вода по квалитету задовољава нормативе воде за пиће.</w:t>
      </w:r>
    </w:p>
    <w:p>
      <w:pPr>
        <w:pStyle w:val="Normal"/>
        <w:rPr>
          <w:lang w:val="sr-CS"/>
        </w:rPr>
      </w:pPr>
      <w:r>
        <w:rPr>
          <w:lang w:val="ru-RU"/>
        </w:rPr>
        <w:t xml:space="preserve">Становници села Сусек за пиће користе воду из два извора. Прво извориште ’’Дољан’’ налази се у централном делу села и има издашности око </w:t>
      </w:r>
      <w:r>
        <w:rPr/>
        <w:t>Q</w:t>
      </w:r>
      <w:r>
        <w:rPr>
          <w:lang w:val="ru-RU"/>
        </w:rPr>
        <w:t xml:space="preserve">=1,0 </w:t>
      </w:r>
      <w:r>
        <w:rPr>
          <w:lang w:val="sr-Latn-CS"/>
        </w:rPr>
        <w:t>l</w:t>
      </w:r>
      <w:r>
        <w:rPr>
          <w:lang w:val="ru-RU"/>
        </w:rPr>
        <w:t>/</w:t>
      </w:r>
      <w:r>
        <w:rPr>
          <w:lang w:val="sr-Latn-CS"/>
        </w:rPr>
        <w:t>s</w:t>
      </w:r>
      <w:r>
        <w:rPr>
          <w:lang w:val="ru-RU"/>
        </w:rPr>
        <w:t xml:space="preserve">, а друго извориште ’’Бело Врело’’ се налази у југоисточном делу села и има издашност </w:t>
      </w:r>
      <w:r>
        <w:rPr/>
        <w:t>Q</w:t>
      </w:r>
      <w:r>
        <w:rPr>
          <w:lang w:val="ru-RU"/>
        </w:rPr>
        <w:t>=2</w:t>
      </w:r>
      <w:r>
        <w:rPr>
          <w:lang w:val="sr-Latn-CS"/>
        </w:rPr>
        <w:t>,0 l</w:t>
      </w:r>
      <w:r>
        <w:rPr>
          <w:lang w:val="ru-RU"/>
        </w:rPr>
        <w:t>/</w:t>
      </w:r>
      <w:r>
        <w:rPr>
          <w:lang w:val="sr-Latn-CS"/>
        </w:rPr>
        <w:t>s</w:t>
      </w:r>
      <w:r>
        <w:rPr>
          <w:lang w:val="ru-RU"/>
        </w:rPr>
        <w:t>. Вода са оба извора је доброг квалитета.</w:t>
      </w:r>
    </w:p>
    <w:p>
      <w:pPr>
        <w:pStyle w:val="Normal"/>
        <w:spacing w:before="120" w:after="360"/>
        <w:rPr/>
      </w:pPr>
      <w:r>
        <w:rPr>
          <w:lang w:val="ru-RU"/>
        </w:rPr>
        <w:t>Основни проблеми Јавног комуналног предузећа Беочин везани за водоснабдевање се углавном односе на застарелост система (цевовода, бунара, опреме, механизације и друго), недостатак обртних средстава за улагање у модернизацију система итд.</w:t>
      </w:r>
      <w:r>
        <w:rPr/>
        <w:t xml:space="preserve"> </w:t>
      </w:r>
    </w:p>
    <w:p>
      <w:pPr>
        <w:pStyle w:val="Normal"/>
        <w:rPr>
          <w:lang w:val="ru-RU"/>
        </w:rPr>
      </w:pPr>
      <w:r>
        <w:rPr>
          <w:lang w:val="ru-RU"/>
        </w:rPr>
      </w:r>
    </w:p>
    <w:p>
      <w:pPr>
        <w:pStyle w:val="Normal"/>
        <w:spacing w:before="240" w:after="120"/>
        <w:rPr>
          <w:i/>
          <w:i/>
          <w:color w:val="4F81BD" w:themeColor="accent1"/>
          <w:lang w:val="sr-Latn-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3.3.4 </w:t>
      </w:r>
      <w:r>
        <w:rPr>
          <w:i/>
          <w:color w:val="4F81BD" w:themeColor="accent1"/>
          <w:lang w:val="sr-Latn-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Канализациона мрежа</w:t>
      </w:r>
    </w:p>
    <w:p>
      <w:pPr>
        <w:pStyle w:val="Normal"/>
        <w:rPr>
          <w:lang w:val="sr-Latn-CS"/>
        </w:rPr>
      </w:pPr>
      <w:r>
        <w:rPr>
          <w:lang w:val="sr-Latn-CS"/>
        </w:rPr>
        <w:t xml:space="preserve">Канализациона мрежа која је под ингеренцијом ЈКП «Беочин» функционише у насељима Беочин </w:t>
      </w:r>
      <w:r>
        <w:rPr>
          <w:lang w:val="sr-RS"/>
        </w:rPr>
        <w:t>Г</w:t>
      </w:r>
      <w:r>
        <w:rPr>
          <w:lang w:val="sr-Latn-CS"/>
        </w:rPr>
        <w:t xml:space="preserve">рад, Беочин </w:t>
      </w:r>
      <w:r>
        <w:rPr>
          <w:lang w:val="sr-RS"/>
        </w:rPr>
        <w:t>С</w:t>
      </w:r>
      <w:r>
        <w:rPr>
          <w:lang w:val="sr-Latn-CS"/>
        </w:rPr>
        <w:t>ело, а у месним заједницама Черевић и Раковац.</w:t>
      </w:r>
    </w:p>
    <w:p>
      <w:pPr>
        <w:pStyle w:val="Normal"/>
        <w:rPr>
          <w:lang w:val="sr-Latn-CS"/>
        </w:rPr>
      </w:pPr>
      <w:r>
        <w:rPr>
          <w:lang w:val="sr-Latn-CS"/>
        </w:rPr>
        <w:t>У свим осталим насељима општине постоје индивидуалне септичке јаме и упојни бунари. Црпна станица отпадних вода насеља Беочин има два усисна базена, један за фекалне, а други за атмосферске воде (велики проблем на појединим локалитетима представља мешање отпадних санитарних и атмосферских вода), а све одлази даље ка водот</w:t>
      </w:r>
      <w:r>
        <w:rPr>
          <w:lang w:val="sr-CS"/>
        </w:rPr>
        <w:t>о</w:t>
      </w:r>
      <w:r>
        <w:rPr>
          <w:lang w:val="sr-Latn-CS"/>
        </w:rPr>
        <w:t>ку Дунав. За сада ниједно насеље нема изгра</w:t>
      </w:r>
      <w:r>
        <w:rPr>
          <w:lang w:val="sr-CS"/>
        </w:rPr>
        <w:t>ђ</w:t>
      </w:r>
      <w:r>
        <w:rPr>
          <w:lang w:val="sr-Latn-CS"/>
        </w:rPr>
        <w:t>ено пост</w:t>
      </w:r>
      <w:r>
        <w:rPr>
          <w:lang w:val="sr-CS"/>
        </w:rPr>
        <w:t>р</w:t>
      </w:r>
      <w:r>
        <w:rPr>
          <w:lang w:val="sr-Latn-CS"/>
        </w:rPr>
        <w:t>ојење за пречишћавање отпадних вода пре испуштања у Дунав.</w:t>
      </w:r>
    </w:p>
    <w:p>
      <w:pPr>
        <w:pStyle w:val="Normal"/>
        <w:spacing w:before="240" w:after="120"/>
        <w:rPr>
          <w:i/>
          <w:i/>
          <w:color w:val="4F81BD" w:themeColor="accent1"/>
          <w:lang w:val="sr-Latn-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i/>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3.3.5. </w:t>
      </w:r>
      <w:r>
        <w:rPr>
          <w:i/>
          <w:color w:val="4F81BD" w:themeColor="accent1"/>
          <w:lang w:val="ru-RU"/>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Одржавања хигијене и зелених површина</w:t>
      </w:r>
    </w:p>
    <w:p>
      <w:pPr>
        <w:pStyle w:val="Normal"/>
        <w:rPr/>
      </w:pPr>
      <w:r>
        <w:rPr>
          <w:lang w:val="ru-RU"/>
        </w:rPr>
        <w:t>Д</w:t>
      </w:r>
      <w:r>
        <w:rPr>
          <w:lang w:val="sr-Latn-CS"/>
        </w:rPr>
        <w:t xml:space="preserve">елатност </w:t>
      </w:r>
      <w:r>
        <w:rPr>
          <w:b/>
          <w:lang w:val="ru-RU"/>
        </w:rPr>
        <w:t>одржавања хигијене и зелених површина</w:t>
      </w:r>
      <w:r>
        <w:rPr>
          <w:lang w:val="ru-RU"/>
        </w:rPr>
        <w:t xml:space="preserve"> врши </w:t>
      </w:r>
      <w:r>
        <w:rPr>
          <w:caps/>
          <w:lang w:val="sr-Latn-CS"/>
        </w:rPr>
        <w:t xml:space="preserve">ЈКП «Беочин» </w:t>
      </w:r>
      <w:r>
        <w:rPr>
          <w:lang w:val="sr-Latn-CS"/>
        </w:rPr>
        <w:t>путем уговора</w:t>
      </w:r>
      <w:r>
        <w:rPr>
          <w:lang w:val="sr-CS"/>
        </w:rPr>
        <w:t xml:space="preserve"> </w:t>
      </w:r>
      <w:r>
        <w:rPr>
          <w:lang w:val="sr-Latn-CS"/>
        </w:rPr>
        <w:t>са</w:t>
      </w:r>
      <w:r>
        <w:rPr>
          <w:lang w:val="sr-CS"/>
        </w:rPr>
        <w:t xml:space="preserve"> </w:t>
      </w:r>
      <w:r>
        <w:rPr>
          <w:lang w:val="sr-Latn-CS"/>
        </w:rPr>
        <w:t>оп</w:t>
      </w:r>
      <w:r>
        <w:rPr>
          <w:lang w:val="sr-CS"/>
        </w:rPr>
        <w:t>ш</w:t>
      </w:r>
      <w:r>
        <w:rPr>
          <w:lang w:val="sr-Latn-CS"/>
        </w:rPr>
        <w:t>тином</w:t>
      </w:r>
      <w:r>
        <w:rPr>
          <w:lang w:val="sr-CS"/>
        </w:rPr>
        <w:t xml:space="preserve"> </w:t>
      </w:r>
      <w:r>
        <w:rPr>
          <w:lang w:val="sr-Latn-CS"/>
        </w:rPr>
        <w:t>Бео</w:t>
      </w:r>
      <w:r>
        <w:rPr>
          <w:lang w:val="sr-CS"/>
        </w:rPr>
        <w:t>ч</w:t>
      </w:r>
      <w:r>
        <w:rPr>
          <w:lang w:val="sr-Latn-CS"/>
        </w:rPr>
        <w:t>ин</w:t>
      </w:r>
      <w:r>
        <w:rPr>
          <w:lang w:val="sr-CS"/>
        </w:rPr>
        <w:t>.</w:t>
      </w:r>
      <w:r>
        <w:rPr>
          <w:lang w:val="sr-Latn-CS"/>
        </w:rPr>
        <w:t xml:space="preserve"> Одржавају се две главне улице у граду у укупној дужини од око 11.000 m</w:t>
      </w:r>
      <w:r>
        <w:rPr>
          <w:vertAlign w:val="superscript"/>
          <w:lang w:val="sr-Latn-CS"/>
        </w:rPr>
        <w:t>2</w:t>
      </w:r>
      <w:r>
        <w:rPr>
          <w:lang w:val="sr-Latn-CS"/>
        </w:rPr>
        <w:t>, парк хероја Брила (око 6.000 m</w:t>
      </w:r>
      <w:r>
        <w:rPr>
          <w:vertAlign w:val="superscript"/>
          <w:lang w:val="sr-Latn-CS"/>
        </w:rPr>
        <w:t>2</w:t>
      </w:r>
      <w:r>
        <w:rPr>
          <w:lang w:val="sr-Latn-CS"/>
        </w:rPr>
        <w:t xml:space="preserve"> зелених површина), градски плато (5.000 m</w:t>
      </w:r>
      <w:r>
        <w:rPr>
          <w:vertAlign w:val="superscript"/>
          <w:lang w:val="sr-Latn-CS"/>
        </w:rPr>
        <w:t>2</w:t>
      </w:r>
      <w:r>
        <w:rPr>
          <w:lang w:val="sr-Latn-CS"/>
        </w:rPr>
        <w:t>), затим зелене површине у оквиру стамбених блокова (око 22.000 m</w:t>
      </w:r>
      <w:r>
        <w:rPr>
          <w:vertAlign w:val="superscript"/>
          <w:lang w:val="sr-Latn-CS"/>
        </w:rPr>
        <w:t>2</w:t>
      </w:r>
      <w:r>
        <w:rPr>
          <w:lang w:val="sr-Latn-CS"/>
        </w:rPr>
        <w:t xml:space="preserve">). </w:t>
      </w:r>
      <w:r>
        <w:rPr>
          <w:b/>
          <w:i/>
          <w:lang w:val="ru-RU"/>
        </w:rPr>
        <w:t>О</w:t>
      </w:r>
      <w:r>
        <w:rPr>
          <w:b/>
          <w:i/>
          <w:lang w:val="sr-Latn-CS"/>
        </w:rPr>
        <w:t>дношења смећа</w:t>
      </w:r>
      <w:r>
        <w:rPr>
          <w:b/>
          <w:i/>
        </w:rPr>
        <w:t xml:space="preserve">, </w:t>
      </w:r>
      <w:r>
        <w:rPr>
          <w:bCs/>
          <w:i/>
        </w:rPr>
        <w:t>у</w:t>
      </w:r>
      <w:r>
        <w:rPr>
          <w:lang w:val="sr-Latn-CS"/>
        </w:rPr>
        <w:t xml:space="preserve">слугу одношења смећа ЈКП «Беочин» пружа становницима Беочина у свим насељима. </w:t>
      </w:r>
    </w:p>
    <w:p>
      <w:pPr>
        <w:pStyle w:val="Normal"/>
        <w:rPr>
          <w:lang w:val="ru-RU"/>
        </w:rPr>
      </w:pPr>
      <w:r>
        <w:rPr>
          <w:lang w:val="ru-RU"/>
        </w:rPr>
        <w:t xml:space="preserve">Количина смећа која се дневно одлаже на депонију Танцош износи 19 тона, што значи да сваки грађанин дневно произведе нешто мало више од 1 кг смећа . </w:t>
      </w:r>
    </w:p>
    <w:p>
      <w:pPr>
        <w:pStyle w:val="Normal"/>
        <w:rPr>
          <w:lang w:val="sr-Latn-CS"/>
        </w:rPr>
      </w:pPr>
      <w:r>
        <w:rPr>
          <w:iCs/>
          <w:lang w:val="sr-Latn-CS"/>
        </w:rPr>
        <w:t>По питању развијености свести и културе људи еколошком приступу отпаду на основу анкете  спроведене 2011. године н</w:t>
      </w:r>
      <w:r>
        <w:rPr>
          <w:lang w:val="ru-RU"/>
        </w:rPr>
        <w:t>ешто</w:t>
      </w:r>
      <w:r>
        <w:rPr>
          <w:lang w:val="sr-Latn-CS"/>
        </w:rPr>
        <w:t xml:space="preserve"> </w:t>
      </w:r>
      <w:r>
        <w:rPr>
          <w:lang w:val="ru-RU"/>
        </w:rPr>
        <w:t>мало</w:t>
      </w:r>
      <w:r>
        <w:rPr>
          <w:lang w:val="sr-Latn-CS"/>
        </w:rPr>
        <w:t xml:space="preserve"> </w:t>
      </w:r>
      <w:r>
        <w:rPr>
          <w:lang w:val="ru-RU"/>
        </w:rPr>
        <w:t>више</w:t>
      </w:r>
      <w:r>
        <w:rPr>
          <w:lang w:val="sr-Latn-CS"/>
        </w:rPr>
        <w:t xml:space="preserve"> </w:t>
      </w:r>
      <w:r>
        <w:rPr>
          <w:lang w:val="ru-RU"/>
        </w:rPr>
        <w:t>од</w:t>
      </w:r>
      <w:r>
        <w:rPr>
          <w:lang w:val="sr-Latn-CS"/>
        </w:rPr>
        <w:t xml:space="preserve"> 40% </w:t>
      </w:r>
      <w:r>
        <w:rPr>
          <w:lang w:val="ru-RU"/>
        </w:rPr>
        <w:t>анкетираних</w:t>
      </w:r>
      <w:r>
        <w:rPr>
          <w:lang w:val="sr-Latn-CS"/>
        </w:rPr>
        <w:t xml:space="preserve"> </w:t>
      </w:r>
      <w:r>
        <w:rPr>
          <w:lang w:val="ru-RU"/>
        </w:rPr>
        <w:t>грађана</w:t>
      </w:r>
      <w:r>
        <w:rPr>
          <w:lang w:val="sr-Latn-CS"/>
        </w:rPr>
        <w:t xml:space="preserve"> </w:t>
      </w:r>
      <w:r>
        <w:rPr>
          <w:lang w:val="ru-RU"/>
        </w:rPr>
        <w:t>је</w:t>
      </w:r>
      <w:r>
        <w:rPr>
          <w:lang w:val="sr-Latn-CS"/>
        </w:rPr>
        <w:t xml:space="preserve"> </w:t>
      </w:r>
      <w:r>
        <w:rPr>
          <w:lang w:val="ru-RU"/>
        </w:rPr>
        <w:t>истакло</w:t>
      </w:r>
      <w:r>
        <w:rPr>
          <w:lang w:val="sr-Latn-CS"/>
        </w:rPr>
        <w:t xml:space="preserve"> </w:t>
      </w:r>
      <w:r>
        <w:rPr>
          <w:lang w:val="ru-RU"/>
        </w:rPr>
        <w:t>да</w:t>
      </w:r>
      <w:r>
        <w:rPr>
          <w:lang w:val="sr-Latn-CS"/>
        </w:rPr>
        <w:t xml:space="preserve"> </w:t>
      </w:r>
      <w:r>
        <w:rPr>
          <w:lang w:val="ru-RU"/>
        </w:rPr>
        <w:t>приликом</w:t>
      </w:r>
      <w:r>
        <w:rPr>
          <w:lang w:val="sr-Latn-CS"/>
        </w:rPr>
        <w:t xml:space="preserve"> </w:t>
      </w:r>
      <w:r>
        <w:rPr>
          <w:lang w:val="ru-RU"/>
        </w:rPr>
        <w:t>бацања</w:t>
      </w:r>
      <w:r>
        <w:rPr>
          <w:lang w:val="sr-Latn-CS"/>
        </w:rPr>
        <w:t xml:space="preserve"> </w:t>
      </w:r>
      <w:r>
        <w:rPr>
          <w:lang w:val="ru-RU"/>
        </w:rPr>
        <w:t>смећа</w:t>
      </w:r>
      <w:r>
        <w:rPr>
          <w:lang w:val="sr-Latn-CS"/>
        </w:rPr>
        <w:t xml:space="preserve"> </w:t>
      </w:r>
      <w:r>
        <w:rPr>
          <w:lang w:val="ru-RU"/>
        </w:rPr>
        <w:t>раздваја</w:t>
      </w:r>
      <w:r>
        <w:rPr>
          <w:lang w:val="sr-Latn-CS"/>
        </w:rPr>
        <w:t xml:space="preserve"> (</w:t>
      </w:r>
      <w:r>
        <w:rPr>
          <w:lang w:val="ru-RU"/>
        </w:rPr>
        <w:t>групише</w:t>
      </w:r>
      <w:r>
        <w:rPr>
          <w:lang w:val="sr-Latn-CS"/>
        </w:rPr>
        <w:t xml:space="preserve">) </w:t>
      </w:r>
      <w:r>
        <w:rPr>
          <w:lang w:val="ru-RU"/>
        </w:rPr>
        <w:t>отпад</w:t>
      </w:r>
      <w:r>
        <w:rPr>
          <w:lang w:val="sr-Latn-CS"/>
        </w:rPr>
        <w:t xml:space="preserve"> </w:t>
      </w:r>
      <w:r>
        <w:rPr>
          <w:lang w:val="ru-RU"/>
        </w:rPr>
        <w:t>према</w:t>
      </w:r>
      <w:r>
        <w:rPr>
          <w:lang w:val="sr-Latn-CS"/>
        </w:rPr>
        <w:t xml:space="preserve"> </w:t>
      </w:r>
      <w:r>
        <w:rPr>
          <w:lang w:val="ru-RU"/>
        </w:rPr>
        <w:t>материјалима</w:t>
      </w:r>
      <w:r>
        <w:rPr>
          <w:lang w:val="sr-Latn-CS"/>
        </w:rPr>
        <w:t xml:space="preserve"> </w:t>
      </w:r>
      <w:r>
        <w:rPr>
          <w:lang w:val="ru-RU"/>
        </w:rPr>
        <w:t>од</w:t>
      </w:r>
      <w:r>
        <w:rPr>
          <w:lang w:val="sr-Latn-CS"/>
        </w:rPr>
        <w:t xml:space="preserve"> </w:t>
      </w:r>
      <w:r>
        <w:rPr>
          <w:lang w:val="ru-RU"/>
        </w:rPr>
        <w:t>којих</w:t>
      </w:r>
      <w:r>
        <w:rPr>
          <w:lang w:val="sr-Latn-CS"/>
        </w:rPr>
        <w:t xml:space="preserve"> </w:t>
      </w:r>
      <w:r>
        <w:rPr>
          <w:lang w:val="ru-RU"/>
        </w:rPr>
        <w:t>је</w:t>
      </w:r>
      <w:r>
        <w:rPr>
          <w:lang w:val="sr-Latn-CS"/>
        </w:rPr>
        <w:t xml:space="preserve"> </w:t>
      </w:r>
      <w:r>
        <w:rPr>
          <w:lang w:val="ru-RU"/>
        </w:rPr>
        <w:t>сачињен</w:t>
      </w:r>
      <w:r>
        <w:rPr>
          <w:lang w:val="sr-Latn-CS"/>
        </w:rPr>
        <w:t xml:space="preserve"> (</w:t>
      </w:r>
      <w:r>
        <w:rPr>
          <w:lang w:val="ru-RU"/>
        </w:rPr>
        <w:t>папир</w:t>
      </w:r>
      <w:r>
        <w:rPr>
          <w:lang w:val="sr-Latn-CS"/>
        </w:rPr>
        <w:t xml:space="preserve"> </w:t>
      </w:r>
      <w:r>
        <w:rPr>
          <w:lang w:val="ru-RU"/>
        </w:rPr>
        <w:t>са</w:t>
      </w:r>
      <w:r>
        <w:rPr>
          <w:lang w:val="sr-Latn-CS"/>
        </w:rPr>
        <w:t xml:space="preserve"> </w:t>
      </w:r>
      <w:r>
        <w:rPr>
          <w:lang w:val="ru-RU"/>
        </w:rPr>
        <w:t>папиром</w:t>
      </w:r>
      <w:r>
        <w:rPr>
          <w:lang w:val="sr-Latn-CS"/>
        </w:rPr>
        <w:t xml:space="preserve">, </w:t>
      </w:r>
      <w:r>
        <w:rPr>
          <w:lang w:val="ru-RU"/>
        </w:rPr>
        <w:t>стакло</w:t>
      </w:r>
      <w:r>
        <w:rPr>
          <w:lang w:val="sr-Latn-CS"/>
        </w:rPr>
        <w:t xml:space="preserve"> </w:t>
      </w:r>
      <w:r>
        <w:rPr>
          <w:lang w:val="ru-RU"/>
        </w:rPr>
        <w:t>са</w:t>
      </w:r>
      <w:r>
        <w:rPr>
          <w:lang w:val="sr-Latn-CS"/>
        </w:rPr>
        <w:t xml:space="preserve"> </w:t>
      </w:r>
      <w:r>
        <w:rPr>
          <w:lang w:val="ru-RU"/>
        </w:rPr>
        <w:t>стаклом</w:t>
      </w:r>
      <w:r>
        <w:rPr>
          <w:lang w:val="sr-Latn-CS"/>
        </w:rPr>
        <w:t xml:space="preserve">), </w:t>
      </w:r>
      <w:r>
        <w:rPr>
          <w:lang w:val="ru-RU"/>
        </w:rPr>
        <w:t>док</w:t>
      </w:r>
      <w:r>
        <w:rPr>
          <w:lang w:val="sr-Latn-CS"/>
        </w:rPr>
        <w:t xml:space="preserve"> 60% </w:t>
      </w:r>
      <w:r>
        <w:rPr>
          <w:lang w:val="ru-RU"/>
        </w:rPr>
        <w:t>њих</w:t>
      </w:r>
      <w:r>
        <w:rPr>
          <w:lang w:val="sr-Latn-CS"/>
        </w:rPr>
        <w:t xml:space="preserve"> </w:t>
      </w:r>
      <w:r>
        <w:rPr>
          <w:lang w:val="ru-RU"/>
        </w:rPr>
        <w:t>нема</w:t>
      </w:r>
      <w:r>
        <w:rPr>
          <w:lang w:val="sr-Latn-CS"/>
        </w:rPr>
        <w:t xml:space="preserve"> </w:t>
      </w:r>
      <w:r>
        <w:rPr>
          <w:lang w:val="ru-RU"/>
        </w:rPr>
        <w:t>такву</w:t>
      </w:r>
      <w:r>
        <w:rPr>
          <w:lang w:val="sr-Latn-CS"/>
        </w:rPr>
        <w:t xml:space="preserve"> </w:t>
      </w:r>
      <w:r>
        <w:rPr>
          <w:lang w:val="ru-RU"/>
        </w:rPr>
        <w:t>навику</w:t>
      </w:r>
      <w:r>
        <w:rPr>
          <w:lang w:val="sr-Latn-CS"/>
        </w:rPr>
        <w:t xml:space="preserve">. </w:t>
      </w:r>
    </w:p>
    <w:p>
      <w:pPr>
        <w:pStyle w:val="Normal"/>
        <w:rPr>
          <w:lang w:val="ru-RU"/>
        </w:rPr>
      </w:pPr>
      <w:r>
        <w:rPr>
          <w:lang w:val="ru-RU"/>
        </w:rPr>
      </w:r>
    </w:p>
    <w:p>
      <w:pPr>
        <w:pStyle w:val="Normal"/>
        <w:spacing w:lineRule="auto" w:line="276" w:before="0" w:after="200"/>
        <w:jc w:val="left"/>
        <w:rPr>
          <w:rFonts w:eastAsia="" w:eastAsiaTheme="majorEastAsia"/>
          <w:b/>
          <w:bCs/>
          <w:color w:val="4F81BD" w:themeColor="accent1"/>
          <w:sz w:val="26"/>
          <w:szCs w:val="26"/>
        </w:rPr>
      </w:pPr>
      <w:r>
        <w:rPr>
          <w:rFonts w:eastAsia="" w:eastAsiaTheme="majorEastAsia"/>
          <w:b/>
          <w:bCs/>
          <w:color w:val="4F81BD" w:themeColor="accent1"/>
          <w:sz w:val="26"/>
          <w:szCs w:val="26"/>
        </w:rPr>
      </w:r>
      <w:r>
        <w:br w:type="page"/>
      </w:r>
    </w:p>
    <w:p>
      <w:pPr>
        <w:pStyle w:val="2"/>
        <w:spacing w:before="0" w:after="0"/>
        <w:rPr/>
      </w:pPr>
      <w:bookmarkStart w:id="10" w:name="_Toc184550031"/>
      <w:r>
        <w:rPr/>
        <w:t>Општи подаци о Ромима</w:t>
      </w:r>
      <w:bookmarkEnd w:id="10"/>
    </w:p>
    <w:p>
      <w:pPr>
        <w:pStyle w:val="Normal"/>
        <w:rPr/>
      </w:pPr>
      <w:r>
        <w:rPr/>
      </w:r>
    </w:p>
    <w:p>
      <w:pPr>
        <w:pStyle w:val="Normal"/>
        <w:spacing w:lineRule="auto" w:line="276" w:before="0" w:after="60"/>
        <w:rPr/>
      </w:pPr>
      <w:r>
        <w:rPr/>
        <w:t xml:space="preserve">Према подацима запослених у Општинској управи достављеним у </w:t>
      </w:r>
      <w:r>
        <w:rPr>
          <w:i/>
          <w:iCs/>
        </w:rPr>
        <w:t>Упитнику за прикупљање информација о положају Рома у општини Беочин</w:t>
      </w:r>
      <w:r>
        <w:rPr/>
        <w:t>, укупан број Рома је 1239, од чега је 620 мушког пола, а 619 женског пола. Ови подаци су у складу са пописом становништва из 2022 године.</w:t>
      </w:r>
    </w:p>
    <w:p>
      <w:pPr>
        <w:pStyle w:val="Normal"/>
        <w:spacing w:lineRule="auto" w:line="276" w:before="0" w:after="60"/>
        <w:rPr>
          <w:lang w:val="sr-Latn-RS"/>
        </w:rPr>
      </w:pPr>
      <w:r>
        <w:rPr/>
        <w:t xml:space="preserve">Према процениама добијеним из упитника број Рома у општини Беочин  је око 1800. </w:t>
      </w:r>
    </w:p>
    <w:p>
      <w:pPr>
        <w:pStyle w:val="Normal"/>
        <w:rPr/>
      </w:pPr>
      <w:r>
        <w:rPr/>
        <w:t>У посебан бирачки списак је до 29.11.2024. уписано 632 грађана ромске националности.</w:t>
      </w:r>
    </w:p>
    <w:p>
      <w:pPr>
        <w:pStyle w:val="Normal"/>
        <w:rPr/>
      </w:pPr>
      <w:r>
        <w:rPr/>
        <w:t>Општине нема наставника који су добили сертификат за предавање ромског језика.</w:t>
      </w:r>
    </w:p>
    <w:p>
      <w:pPr>
        <w:pStyle w:val="Normal"/>
        <w:rPr/>
      </w:pPr>
      <w:r>
        <w:rPr/>
        <w:t xml:space="preserve">На територији општине Беочин активна су три удружења грађана које се баве унапређивањем положаја Рома: </w:t>
      </w:r>
      <w:r>
        <w:rPr>
          <w:rFonts w:eastAsia="Calibri"/>
          <w:bCs/>
        </w:rPr>
        <w:t>Удружење Рома Беочин, Културни центар Рома Беочин и Форум Рома Србије.</w:t>
      </w:r>
    </w:p>
    <w:p>
      <w:pPr>
        <w:pStyle w:val="Normal"/>
        <w:shd w:val="clear" w:color="auto" w:fill="FFFFFF"/>
        <w:suppressAutoHyphens w:val="true"/>
        <w:spacing w:lineRule="auto" w:line="276" w:before="240" w:after="200"/>
        <w:jc w:val="left"/>
        <w:rPr/>
      </w:pPr>
      <w:r>
        <w:rPr/>
        <w:t xml:space="preserve">Током 2021, 2022, 2023 и 2024. године из буџета локалне самоуправе издвојена финансијска средства за </w:t>
      </w:r>
      <w:r>
        <w:rPr>
          <w:rFonts w:eastAsia="Calibri" w:eastAsiaTheme="minorHAnsi"/>
          <w:b/>
        </w:rPr>
        <w:t>финансирање и суфинансирање</w:t>
      </w:r>
      <w:r>
        <w:rPr>
          <w:rFonts w:eastAsia="Calibri" w:eastAsiaTheme="minorHAnsi"/>
        </w:rPr>
        <w:t xml:space="preserve"> </w:t>
      </w:r>
      <w:r>
        <w:rPr>
          <w:rFonts w:eastAsia="Calibri" w:eastAsiaTheme="minorHAnsi"/>
          <w:b/>
        </w:rPr>
        <w:t>програма/пројеката у култури и културно уметничких удружења</w:t>
      </w:r>
      <w:r>
        <w:rPr>
          <w:rFonts w:eastAsia="Calibri" w:eastAsiaTheme="minorHAnsi"/>
        </w:rPr>
        <w:t xml:space="preserve"> на основу јавног конкурса</w:t>
      </w:r>
    </w:p>
    <w:p>
      <w:pPr>
        <w:pStyle w:val="Normal"/>
        <w:shd w:val="clear" w:color="auto" w:fill="FFFFFF"/>
        <w:suppressAutoHyphens w:val="true"/>
        <w:spacing w:lineRule="auto" w:line="276" w:before="0" w:after="200"/>
        <w:ind w:left="1080" w:hanging="0"/>
        <w:jc w:val="left"/>
        <w:rPr/>
      </w:pPr>
      <w:r>
        <w:rPr/>
        <w:t xml:space="preserve"> </w:t>
      </w:r>
      <w:r>
        <w:rPr/>
        <w:t>(ИЗНОС СРЕДСТАВА ЗА СВАКУ ОД ГОДИНА)</w:t>
      </w:r>
    </w:p>
    <w:tbl>
      <w:tblPr>
        <w:tblStyle w:val="TableGrid1"/>
        <w:tblW w:w="9355"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2335"/>
        <w:gridCol w:w="7019"/>
      </w:tblGrid>
      <w:tr>
        <w:trPr/>
        <w:tc>
          <w:tcPr>
            <w:tcW w:w="2335" w:type="dxa"/>
            <w:tcBorders/>
            <w:shd w:color="auto" w:fill="C6D9F1" w:themeFill="text2" w:themeFillTint="33" w:val="clear"/>
          </w:tcPr>
          <w:p>
            <w:pPr>
              <w:pStyle w:val="Normal"/>
              <w:widowControl w:val="false"/>
              <w:suppressAutoHyphens w:val="true"/>
              <w:spacing w:before="60" w:after="60"/>
              <w:jc w:val="center"/>
              <w:rPr>
                <w:rFonts w:ascii="Calibri" w:hAnsi="Calibri"/>
                <w:kern w:val="0"/>
                <w:sz w:val="22"/>
                <w:szCs w:val="22"/>
                <w:lang w:eastAsia="en-US" w:bidi="ar-SA"/>
              </w:rPr>
            </w:pPr>
            <w:r>
              <w:rPr>
                <w:kern w:val="0"/>
                <w:sz w:val="22"/>
                <w:szCs w:val="22"/>
                <w:lang w:eastAsia="en-US" w:bidi="ar-SA"/>
              </w:rPr>
              <w:t>Година</w:t>
            </w:r>
          </w:p>
        </w:tc>
        <w:tc>
          <w:tcPr>
            <w:tcW w:w="7019" w:type="dxa"/>
            <w:tcBorders/>
            <w:shd w:color="auto" w:fill="C6D9F1" w:themeFill="text2" w:themeFillTint="33" w:val="clear"/>
          </w:tcPr>
          <w:p>
            <w:pPr>
              <w:pStyle w:val="Normal"/>
              <w:widowControl w:val="false"/>
              <w:suppressAutoHyphens w:val="true"/>
              <w:spacing w:before="60" w:after="60"/>
              <w:jc w:val="center"/>
              <w:rPr>
                <w:rFonts w:ascii="Calibri" w:hAnsi="Calibri"/>
                <w:kern w:val="0"/>
                <w:sz w:val="22"/>
                <w:szCs w:val="22"/>
                <w:lang w:eastAsia="en-US" w:bidi="ar-SA"/>
              </w:rPr>
            </w:pPr>
            <w:r>
              <w:rPr>
                <w:kern w:val="0"/>
                <w:sz w:val="22"/>
                <w:szCs w:val="22"/>
                <w:lang w:eastAsia="en-US" w:bidi="ar-SA"/>
              </w:rPr>
              <w:t>Износ издвојених финансијских средстава (РСД)</w:t>
            </w:r>
          </w:p>
        </w:tc>
      </w:tr>
      <w:tr>
        <w:trPr/>
        <w:tc>
          <w:tcPr>
            <w:tcW w:w="2335"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2021</w:t>
            </w:r>
          </w:p>
        </w:tc>
        <w:tc>
          <w:tcPr>
            <w:tcW w:w="7019"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1.300.000,00</w:t>
            </w:r>
          </w:p>
        </w:tc>
      </w:tr>
      <w:tr>
        <w:trPr/>
        <w:tc>
          <w:tcPr>
            <w:tcW w:w="2335"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2022</w:t>
            </w:r>
          </w:p>
        </w:tc>
        <w:tc>
          <w:tcPr>
            <w:tcW w:w="7019"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1.200.000,00</w:t>
            </w:r>
          </w:p>
        </w:tc>
      </w:tr>
      <w:tr>
        <w:trPr/>
        <w:tc>
          <w:tcPr>
            <w:tcW w:w="2335"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2023</w:t>
            </w:r>
          </w:p>
        </w:tc>
        <w:tc>
          <w:tcPr>
            <w:tcW w:w="7019"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1.500.000,00</w:t>
            </w:r>
          </w:p>
        </w:tc>
      </w:tr>
      <w:tr>
        <w:trPr/>
        <w:tc>
          <w:tcPr>
            <w:tcW w:w="2335"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2024</w:t>
            </w:r>
          </w:p>
        </w:tc>
        <w:tc>
          <w:tcPr>
            <w:tcW w:w="7019" w:type="dxa"/>
            <w:tcBorders/>
          </w:tcPr>
          <w:p>
            <w:pPr>
              <w:pStyle w:val="Normal"/>
              <w:widowControl w:val="false"/>
              <w:suppressAutoHyphens w:val="true"/>
              <w:spacing w:before="60" w:after="60"/>
              <w:rPr>
                <w:rFonts w:ascii="Calibri" w:hAnsi="Calibri"/>
                <w:kern w:val="0"/>
                <w:sz w:val="22"/>
                <w:szCs w:val="22"/>
                <w:lang w:eastAsia="en-US" w:bidi="ar-SA"/>
              </w:rPr>
            </w:pPr>
            <w:r>
              <w:rPr>
                <w:kern w:val="0"/>
                <w:sz w:val="22"/>
                <w:szCs w:val="22"/>
                <w:lang w:eastAsia="en-US" w:bidi="ar-SA"/>
              </w:rPr>
              <w:t>1.500.000,00</w:t>
            </w:r>
          </w:p>
        </w:tc>
      </w:tr>
    </w:tbl>
    <w:p>
      <w:pPr>
        <w:pStyle w:val="Normal"/>
        <w:rPr/>
      </w:pPr>
      <w:r>
        <w:rPr/>
      </w:r>
    </w:p>
    <w:p>
      <w:pPr>
        <w:pStyle w:val="Normal"/>
        <w:spacing w:lineRule="auto" w:line="276" w:before="0" w:after="200"/>
        <w:jc w:val="left"/>
        <w:rPr>
          <w:rFonts w:ascii="Cambria" w:hAnsi="Cambria" w:eastAsia="" w:cs="" w:asciiTheme="majorHAnsi" w:cstheme="majorBidi" w:eastAsiaTheme="majorEastAsia" w:hAnsiTheme="majorHAnsi"/>
          <w:b/>
          <w:bCs/>
          <w:color w:val="4F81BD" w:themeColor="accent1"/>
        </w:rPr>
      </w:pPr>
      <w:r>
        <w:rPr>
          <w:rFonts w:eastAsia="" w:cs="" w:cstheme="majorBidi" w:eastAsiaTheme="majorEastAsia" w:ascii="Cambria" w:hAnsi="Cambria"/>
          <w:b/>
          <w:bCs/>
          <w:color w:val="4F81BD" w:themeColor="accent1"/>
        </w:rPr>
      </w:r>
      <w:r>
        <w:br w:type="page"/>
      </w:r>
    </w:p>
    <w:p>
      <w:pPr>
        <w:pStyle w:val="Normal"/>
        <w:spacing w:before="0" w:after="0"/>
        <w:rPr/>
      </w:pPr>
      <w:r>
        <w:rPr/>
      </w:r>
    </w:p>
    <w:p>
      <w:pPr>
        <w:pStyle w:val="Normal"/>
        <w:spacing w:lineRule="auto" w:line="276" w:before="0" w:after="200"/>
        <w:jc w:val="left"/>
        <w:rPr>
          <w:rFonts w:ascii="Cambria" w:hAnsi="Cambria" w:eastAsia="" w:cs="" w:asciiTheme="majorHAnsi" w:cstheme="majorBidi" w:eastAsiaTheme="majorEastAsia" w:hAnsiTheme="majorHAnsi"/>
          <w:b/>
          <w:bCs/>
          <w:color w:val="4F81BD" w:themeColor="accent1"/>
        </w:rPr>
      </w:pPr>
      <w:r>
        <w:rPr>
          <w:rFonts w:eastAsia="" w:cs="" w:cstheme="majorBidi" w:eastAsiaTheme="majorEastAsia" w:ascii="Cambria" w:hAnsi="Cambria"/>
          <w:b/>
          <w:bCs/>
          <w:color w:val="4F81BD" w:themeColor="accent1"/>
        </w:rPr>
      </w:r>
    </w:p>
    <w:p>
      <w:pPr>
        <w:pStyle w:val="3"/>
        <w:ind w:left="720" w:hanging="720"/>
        <w:rPr/>
      </w:pPr>
      <w:bookmarkStart w:id="11" w:name="_Toc184550032"/>
      <w:r>
        <w:rPr/>
        <w:t>Становање</w:t>
      </w:r>
      <w:bookmarkEnd w:id="11"/>
    </w:p>
    <w:p>
      <w:pPr>
        <w:pStyle w:val="Normal"/>
        <w:rPr/>
      </w:pPr>
      <w:r>
        <w:rPr/>
      </w:r>
    </w:p>
    <w:p>
      <w:pPr>
        <w:pStyle w:val="Normal"/>
        <w:shd w:val="clear" w:color="auto" w:fill="FFFFFF"/>
        <w:rPr>
          <w:rFonts w:eastAsia="Calibri" w:eastAsiaTheme="minorHAnsi"/>
          <w:bCs/>
        </w:rPr>
      </w:pPr>
      <w:r>
        <w:rPr/>
        <w:t>Према подацима достављеним од стране запослених у Општинској управи општине Беочин, Роми су интегрисани у централним  насељима</w:t>
      </w:r>
      <w:r>
        <w:rPr>
          <w:lang w:val="en-US"/>
        </w:rPr>
        <w:t>,</w:t>
      </w:r>
      <w:r>
        <w:rPr/>
        <w:t xml:space="preserve"> у зависности од својих материјалних могућности</w:t>
      </w:r>
      <w:r>
        <w:rPr>
          <w:lang w:val="en-US"/>
        </w:rPr>
        <w:t>,</w:t>
      </w:r>
      <w:r>
        <w:rPr/>
        <w:t xml:space="preserve"> од самог центра насеља где имућнији као и остали становници поседују добре куће.</w:t>
      </w:r>
      <w:r>
        <w:rPr>
          <w:rFonts w:eastAsia="Calibri" w:eastAsiaTheme="minorHAnsi"/>
          <w:bCs/>
        </w:rPr>
        <w:t xml:space="preserve"> У две од три Колоније живи око 100 породица које желе да озаконе беспавно играђене објекте, односно који су због проширења породице били принуђени да дограде-прошире станове од 32 м2.</w:t>
      </w:r>
    </w:p>
    <w:p>
      <w:pPr>
        <w:pStyle w:val="Normal"/>
        <w:shd w:val="clear" w:color="auto" w:fill="FFFFFF"/>
        <w:suppressAutoHyphens w:val="true"/>
        <w:rPr>
          <w:rFonts w:eastAsia="Calibri" w:eastAsiaTheme="minorHAnsi"/>
          <w:bCs/>
        </w:rPr>
      </w:pPr>
      <w:r>
        <w:rPr>
          <w:rFonts w:eastAsia="Calibri" w:eastAsiaTheme="minorHAnsi"/>
          <w:bCs/>
        </w:rPr>
        <w:t>Насеље Шљивик је средина у којој се налазе индивидуелне грађевине – куће чији су власници такође заинтересовани да озаконе бесправно изграђене објекте.</w:t>
      </w:r>
    </w:p>
    <w:p>
      <w:pPr>
        <w:pStyle w:val="Normal"/>
        <w:shd w:val="clear" w:color="auto" w:fill="FFFFFF"/>
        <w:suppressAutoHyphens w:val="true"/>
        <w:rPr>
          <w:rFonts w:eastAsia="Calibri" w:eastAsiaTheme="minorHAnsi"/>
          <w:bCs/>
        </w:rPr>
      </w:pPr>
      <w:r>
        <w:rPr>
          <w:rFonts w:eastAsia="Calibri" w:eastAsiaTheme="minorHAnsi"/>
          <w:bCs/>
        </w:rPr>
        <w:t>Насеље Филијала у Беочину располаже са најмање објеката за озакоњење јер се у том делу налази мањи број житеља, али претежно ромског становништва.</w:t>
      </w:r>
    </w:p>
    <w:p>
      <w:pPr>
        <w:pStyle w:val="Normal"/>
        <w:shd w:val="clear" w:color="auto" w:fill="FFFFFF"/>
        <w:suppressAutoHyphens w:val="true"/>
        <w:rPr>
          <w:rFonts w:eastAsia="Calibri" w:eastAsiaTheme="minorHAnsi"/>
          <w:bCs/>
        </w:rPr>
      </w:pPr>
      <w:r>
        <w:rPr>
          <w:rFonts w:eastAsia="Calibri" w:eastAsiaTheme="minorHAnsi"/>
          <w:bCs/>
        </w:rPr>
        <w:t>У Сусеку, месту удаљеном на око 25 км од Беочина такође постоји део настањен ромским становништвом.</w:t>
      </w:r>
    </w:p>
    <w:p>
      <w:pPr>
        <w:pStyle w:val="Normal"/>
        <w:shd w:val="clear" w:color="auto" w:fill="D9D9D9" w:themeFill="background1" w:themeFillShade="d9"/>
        <w:spacing w:before="240" w:after="0"/>
        <w:rPr>
          <w:sz w:val="24"/>
          <w:szCs w:val="24"/>
        </w:rPr>
      </w:pPr>
      <w:r>
        <w:rPr>
          <w:b/>
          <w:sz w:val="24"/>
          <w:szCs w:val="24"/>
        </w:rPr>
        <w:t>Назив насеља (НАЗИВ): насеље БЕОЧИН - КОЛОНИЈЕ</w:t>
      </w:r>
    </w:p>
    <w:p>
      <w:pPr>
        <w:pStyle w:val="Normal"/>
        <w:numPr>
          <w:ilvl w:val="0"/>
          <w:numId w:val="2"/>
        </w:numPr>
        <w:shd w:val="clear" w:color="auto" w:fill="FFFFFF"/>
        <w:spacing w:lineRule="auto" w:line="276" w:before="240" w:after="200"/>
        <w:jc w:val="left"/>
        <w:rPr/>
      </w:pPr>
      <w:r>
        <w:rPr/>
        <w:t xml:space="preserve">Процењени број домаћинстава (БРОЈ): око </w:t>
      </w:r>
      <w:r>
        <w:rPr>
          <w:b/>
          <w:bCs/>
        </w:rPr>
        <w:t>250</w:t>
      </w:r>
    </w:p>
    <w:p>
      <w:pPr>
        <w:pStyle w:val="Normal"/>
        <w:numPr>
          <w:ilvl w:val="0"/>
          <w:numId w:val="2"/>
        </w:numPr>
        <w:shd w:val="clear" w:color="auto" w:fill="FFFFFF"/>
        <w:spacing w:lineRule="auto" w:line="276" w:before="240" w:after="200"/>
        <w:jc w:val="left"/>
        <w:rPr/>
      </w:pPr>
      <w:r>
        <w:rPr/>
        <w:t>Процењени број становника (БРОЈ): нема информација</w:t>
      </w:r>
    </w:p>
    <w:p>
      <w:pPr>
        <w:pStyle w:val="Normal"/>
        <w:shd w:val="clear" w:color="auto" w:fill="FFFFFF"/>
        <w:spacing w:before="240" w:after="0"/>
        <w:ind w:left="360" w:hanging="0"/>
        <w:rPr/>
      </w:pPr>
      <w:r>
        <w:rPr/>
        <w:t>Овом делу насеља Беочин припадају улице Цементашка, Стевана Петровића Брила, Милоша Обилића и Омладинска. Објекти у овом делу насеља грађени су већином око 1900</w:t>
      </w:r>
      <w:r>
        <w:rPr>
          <w:lang w:val="sr-Latn-RS"/>
        </w:rPr>
        <w:t xml:space="preserve">. </w:t>
      </w:r>
      <w:r>
        <w:rPr/>
        <w:t>те године, као радничке колоније некадашње Фабрике цемента у Беочину.</w:t>
      </w:r>
      <w:r>
        <w:rPr>
          <w:lang w:val="sr-Latn-RS"/>
        </w:rPr>
        <w:t xml:space="preserve"> </w:t>
      </w:r>
      <w:r>
        <w:rPr/>
        <w:t>Објекти су изграђени као објекти колективног становаља са посебним етажним јединицама, а током коришћења су старани сходно својим потребама дограђивали постојеће објекте. Првобитни објекти су старог типа градње зидани у масивном систему са таваницама и кровном конструкцијом док су новије доградње грађене новијим угланом скелетним системом. Обзиром да су све доградње ових објеката нелегално грађене, без предходне пројектне документације, не може се говорити о сигурности и стабилности истих.</w:t>
      </w:r>
      <w:r>
        <w:rPr>
          <w:b/>
          <w:bCs/>
        </w:rPr>
        <w:t xml:space="preserve"> </w:t>
      </w:r>
      <w:r>
        <w:rPr/>
        <w:t>Сви нелегални делови објекта у овом насељу су изграђени на земљишту у јавној својини општине Беочин, од којих су неки изграђени и на површинама јавне намене. Због нерешених имовинско правних односа ни није било могуће спровести поступак легализације односно озакоњења. Општина Беочин је у предходном периоду започела поступак израде Пројекта препарцелације, сходно изведеним објектима на терену, којим би се одвојило земљиште за редовну употребу објеката, а власницима нелегално изграђених објекта дала могућност откупа и самим тим омогућио даљи поступак озакоњења.</w:t>
      </w:r>
    </w:p>
    <w:p>
      <w:pPr>
        <w:pStyle w:val="Normal"/>
        <w:shd w:val="clear" w:color="auto" w:fill="D9D9D9" w:themeFill="background1" w:themeFillShade="d9"/>
        <w:spacing w:before="240" w:after="0"/>
        <w:rPr>
          <w:b/>
        </w:rPr>
      </w:pPr>
      <w:r>
        <w:rPr/>
        <w:t xml:space="preserve">      </w:t>
      </w:r>
      <w:r>
        <w:rPr>
          <w:b/>
        </w:rPr>
        <w:t xml:space="preserve">Назив насеља (НАЗИВ): </w:t>
      </w:r>
      <w:r>
        <w:rPr>
          <w:b/>
          <w:sz w:val="24"/>
          <w:szCs w:val="24"/>
        </w:rPr>
        <w:t>насеље БЕОЧИН - ШЉИВИК</w:t>
      </w:r>
    </w:p>
    <w:p>
      <w:pPr>
        <w:pStyle w:val="Normal"/>
        <w:numPr>
          <w:ilvl w:val="0"/>
          <w:numId w:val="2"/>
        </w:numPr>
        <w:shd w:val="clear" w:color="auto" w:fill="FFFFFF"/>
        <w:spacing w:lineRule="auto" w:line="276" w:before="240" w:after="200"/>
        <w:jc w:val="left"/>
        <w:rPr/>
      </w:pPr>
      <w:r>
        <w:rPr/>
        <w:t xml:space="preserve">Процењени број домаћинстава (БРОЈ): </w:t>
      </w:r>
      <w:r>
        <w:rPr>
          <w:b/>
          <w:bCs/>
        </w:rPr>
        <w:t>око</w:t>
      </w:r>
      <w:r>
        <w:rPr/>
        <w:t xml:space="preserve"> </w:t>
      </w:r>
      <w:r>
        <w:rPr>
          <w:b/>
          <w:bCs/>
        </w:rPr>
        <w:t>300</w:t>
      </w:r>
    </w:p>
    <w:p>
      <w:pPr>
        <w:pStyle w:val="Normal"/>
        <w:numPr>
          <w:ilvl w:val="0"/>
          <w:numId w:val="2"/>
        </w:numPr>
        <w:shd w:val="clear" w:color="auto" w:fill="FFFFFF"/>
        <w:spacing w:lineRule="auto" w:line="276" w:before="240" w:after="200"/>
        <w:jc w:val="left"/>
        <w:rPr/>
      </w:pPr>
      <w:r>
        <w:rPr/>
        <w:t>Процењени број становника (БРОЈ): нема информација</w:t>
      </w:r>
    </w:p>
    <w:p>
      <w:pPr>
        <w:pStyle w:val="Normal"/>
        <w:shd w:val="clear" w:color="auto" w:fill="FFFFFF"/>
        <w:rPr/>
      </w:pPr>
      <w:r>
        <w:rPr/>
        <w:t>На овом подручју насеља Беочин - „Шљивик“ у мањој мери постоје објекти који су старије градње, одржавани током експлоатације, али у навећој мери изграђени објекти у овом делу су објекти од чврстог материјала, грађени у скелетном систему. Постоје и објекти за које је у предходном периоду грађени уз грађевинску дозволу.</w:t>
      </w:r>
      <w:r>
        <w:rPr>
          <w:b/>
          <w:bCs/>
        </w:rPr>
        <w:t xml:space="preserve"> </w:t>
      </w:r>
      <w:r>
        <w:rPr/>
        <w:t>Обзиром да се ове улице припадају насељу Беочин, ЈКП „Беочин“ као вршиоц комуналне делатности има утврђену делатност водоснабдевања и на овом подручју. Међутим, како је и напред наведено, због нелегалних доградња водоводна мрежа није на задовољавајућем нивоу.</w:t>
      </w:r>
      <w:r>
        <w:rPr>
          <w:bCs/>
        </w:rPr>
        <w:t xml:space="preserve"> На комплетном подручју овог дела насеља постоји изграђена канализациона мрежа. Стим да је могуће да су у неком делу, где су изграђени објекти у ранијем периоду, одвођење отпадних вода решено септичким јамама.</w:t>
      </w:r>
      <w:r>
        <w:rPr>
          <w:b/>
          <w:bCs/>
        </w:rPr>
        <w:t xml:space="preserve"> </w:t>
      </w:r>
      <w:r>
        <w:rPr/>
        <w:t>Према садашњем важећим планским документом дозвољена је изградња искључиво водонепропусних септичких јама. Али не располажемо подацима о изграђеним септичким јамама у овом делу насеља.</w:t>
      </w:r>
      <w:r>
        <w:rPr>
          <w:b/>
          <w:bCs/>
        </w:rPr>
        <w:t xml:space="preserve"> </w:t>
      </w:r>
      <w:r>
        <w:rPr/>
        <w:t>Постоји изграђена ел.мрежа којом управља ЕПС „Огранак електродистибуција Нови Сад“.</w:t>
      </w:r>
      <w:r>
        <w:rPr>
          <w:rFonts w:eastAsia="Calibri" w:eastAsiaTheme="minorHAnsi"/>
          <w:b/>
        </w:rPr>
        <w:t xml:space="preserve"> </w:t>
      </w:r>
      <w:r>
        <w:rPr>
          <w:rFonts w:eastAsia="Calibri" w:eastAsiaTheme="minorHAnsi"/>
        </w:rPr>
        <w:t>Подручје је комунлано опремљено јавном расветом која се редовно одржава.</w:t>
      </w:r>
    </w:p>
    <w:p>
      <w:pPr>
        <w:pStyle w:val="Normal"/>
        <w:shd w:val="clear" w:color="auto" w:fill="FFFFFF"/>
        <w:spacing w:lineRule="auto" w:line="276" w:before="0" w:after="200"/>
        <w:jc w:val="left"/>
        <w:rPr/>
      </w:pPr>
      <w:r>
        <w:rPr/>
        <w:t xml:space="preserve">Постојеће приступне саобраћајнице су на „задовољавајућем“ нивоу. Коловоз је афсалтиран. Такође исти се одржава сходно редовним годишњим програмом одржавања коловоза за територију општине. </w:t>
      </w:r>
      <w:bookmarkStart w:id="12" w:name="_Hlk184042369"/>
    </w:p>
    <w:p>
      <w:pPr>
        <w:pStyle w:val="Normal"/>
        <w:shd w:val="clear" w:color="auto" w:fill="FFFFFF"/>
        <w:spacing w:before="240" w:after="0"/>
        <w:rPr/>
      </w:pPr>
      <w:r>
        <w:rPr/>
        <w:t>Компетно подручје је покривено планском документацијом, односно важећи плански документ је План генералне регулације насеља Беочин („Службени лист општине Беочин“ бр. 02/2015, 07/2018, 34/2020 и 10/2024)</w:t>
      </w:r>
      <w:bookmarkEnd w:id="12"/>
      <w:r>
        <w:rPr/>
        <w:t xml:space="preserve"> и План детаљне регулације Центра 2 из 1999 са изменама и допунама.</w:t>
      </w:r>
      <w:r>
        <w:rPr>
          <w:b/>
          <w:bCs/>
        </w:rPr>
        <w:t xml:space="preserve"> </w:t>
      </w:r>
      <w:r>
        <w:rPr/>
        <w:t xml:space="preserve">Земљиште на којим су изграђени стамбени објекти је у већини случајева у приватној својини лица чији су објекти, нема јавне својине. </w:t>
      </w:r>
    </w:p>
    <w:p>
      <w:pPr>
        <w:pStyle w:val="Normal"/>
        <w:shd w:val="clear" w:color="auto" w:fill="D9D9D9" w:themeFill="background1" w:themeFillShade="d9"/>
        <w:spacing w:before="240" w:after="0"/>
        <w:rPr>
          <w:b/>
        </w:rPr>
      </w:pPr>
      <w:r>
        <w:rPr>
          <w:b/>
        </w:rPr>
        <w:t xml:space="preserve">Назив насеља (НАЗИВ): </w:t>
      </w:r>
      <w:r>
        <w:rPr>
          <w:b/>
          <w:sz w:val="24"/>
          <w:szCs w:val="24"/>
        </w:rPr>
        <w:t>насеље БЕОЧИН - ФИЛИЈАЛА</w:t>
      </w:r>
    </w:p>
    <w:p>
      <w:pPr>
        <w:pStyle w:val="Normal"/>
        <w:numPr>
          <w:ilvl w:val="0"/>
          <w:numId w:val="2"/>
        </w:numPr>
        <w:shd w:val="clear" w:color="auto" w:fill="FFFFFF"/>
        <w:spacing w:lineRule="auto" w:line="276" w:before="240" w:after="200"/>
        <w:jc w:val="left"/>
        <w:rPr/>
      </w:pPr>
      <w:r>
        <w:rPr/>
        <w:t xml:space="preserve">Процењени број домаћинстава (БРОЈ): </w:t>
      </w:r>
      <w:r>
        <w:rPr>
          <w:b/>
          <w:bCs/>
        </w:rPr>
        <w:t>око 80</w:t>
      </w:r>
    </w:p>
    <w:p>
      <w:pPr>
        <w:pStyle w:val="Normal"/>
        <w:numPr>
          <w:ilvl w:val="0"/>
          <w:numId w:val="2"/>
        </w:numPr>
        <w:shd w:val="clear" w:color="auto" w:fill="FFFFFF"/>
        <w:spacing w:lineRule="auto" w:line="276" w:before="240" w:after="200"/>
        <w:jc w:val="left"/>
        <w:rPr/>
      </w:pPr>
      <w:r>
        <w:rPr/>
        <w:t>Процењени број становника (БРОЈ): нема информација</w:t>
      </w:r>
    </w:p>
    <w:p>
      <w:pPr>
        <w:pStyle w:val="Normal"/>
        <w:shd w:val="clear" w:color="auto" w:fill="FFFFFF"/>
        <w:spacing w:lineRule="auto" w:line="276" w:before="240" w:after="200"/>
        <w:jc w:val="left"/>
        <w:rPr/>
      </w:pPr>
      <w:r>
        <w:rPr/>
        <w:t>Објекти су изграђени као објекти колективног становања са посебним етажним јединицама, а током коришћења су станари сходно својим потребама дограђивали постојеће објекте. Првобитни објекти су старог типа градње зидани у масивном систему са таваницама и кровном конструкцијом док су новије доградње грађене новијим углавном скелетним системом. Обзиром да су све доградње ових објеката нелегално грађене, без предходне пројектне документације, не може се говорити о сигурности и стабилности истих.</w:t>
      </w:r>
    </w:p>
    <w:p>
      <w:pPr>
        <w:pStyle w:val="Normal"/>
        <w:shd w:val="clear" w:color="auto" w:fill="FFFFFF"/>
        <w:spacing w:lineRule="auto" w:line="276" w:before="240" w:after="200"/>
        <w:jc w:val="left"/>
        <w:rPr/>
      </w:pPr>
      <w:r>
        <w:rPr/>
        <w:t>С обзиром да се ове улице припадају насељу Беочин, ЈКП „Беочин“ као вршиоц комуналне делатности има утврђену делатност водоснабдевања и на овом подручју. Међутим, како је и напред наведено, због нелегалних доградња водоводна мрежа није на задовољавајућем нивоу.</w:t>
      </w:r>
    </w:p>
    <w:p>
      <w:pPr>
        <w:pStyle w:val="Normal"/>
        <w:shd w:val="clear" w:color="auto" w:fill="FFFFFF"/>
        <w:rPr/>
      </w:pPr>
      <w:r>
        <w:rPr>
          <w:rFonts w:eastAsia="Calibri" w:eastAsiaTheme="minorHAnsi"/>
          <w:bCs/>
        </w:rPr>
        <w:t xml:space="preserve">На подручју насеља постоје главни водови канализације без изведених секундарних. Насеље је већински прикључено на појединачне септичке јаме углавном извођене у ранијем периоду. </w:t>
      </w:r>
      <w:r>
        <w:rPr/>
        <w:t>Према садашњем важећим планским документом дозвољена је изградња искључиво водонепропусних септичких јама. Али не радполажемо подацима о изграђеним септичким јамама у овом делу насеља.</w:t>
      </w:r>
    </w:p>
    <w:p>
      <w:pPr>
        <w:pStyle w:val="Normal"/>
        <w:shd w:val="clear" w:color="auto" w:fill="FFFFFF"/>
        <w:spacing w:lineRule="auto" w:line="276" w:before="0" w:after="200"/>
        <w:jc w:val="left"/>
        <w:rPr/>
      </w:pPr>
      <w:r>
        <w:rPr/>
        <w:t>Постоји изграђена ел.мрежа којом управља ЕПС „Огранак електродистибуција Нови Сад“.</w:t>
      </w:r>
    </w:p>
    <w:p>
      <w:pPr>
        <w:pStyle w:val="Normal"/>
        <w:shd w:val="clear" w:color="auto" w:fill="FFFFFF"/>
        <w:rPr/>
      </w:pPr>
      <w:r>
        <w:rPr/>
        <w:t>Постојеће приступне саобраћајнице су на „задовољавајућем“ нивоу. Коловоз је афсалтиран. Такође исти се одржава сходно редовним годишњим програмом одржавања коловоза за територију општине. Унутрашње саобраћајнице су углавном земљаног застора, делимично асфалниране или поплочане бехатон коцкама.</w:t>
      </w:r>
    </w:p>
    <w:p>
      <w:pPr>
        <w:pStyle w:val="Normal"/>
        <w:shd w:val="clear" w:color="auto" w:fill="FFFFFF"/>
        <w:rPr/>
      </w:pPr>
      <w:r>
        <w:rPr/>
        <w:t xml:space="preserve">Компетно подручје је покривено планском документацијом, односно важећи плански документ је План генералне регулације насеља Беочин („Службени лист општине Беочин“ бр. 02/2015, 07/2018, 34/2020 и 10/2024), са обавезном израдом ПДРа за предметно подручје. </w:t>
      </w:r>
    </w:p>
    <w:p>
      <w:pPr>
        <w:pStyle w:val="Normal"/>
        <w:shd w:val="clear" w:color="auto" w:fill="FFFFFF"/>
        <w:spacing w:lineRule="auto" w:line="276" w:before="240" w:after="200"/>
        <w:jc w:val="left"/>
        <w:rPr/>
      </w:pPr>
      <w:r>
        <w:rPr/>
        <w:t xml:space="preserve">Сви нелегални делови објекта у овом насељу су изграђени на земљишту у јавној својини општине Беочин, од којих су неки изграђени и на површинама јавне намене. Због нерешених имовинско правних односа ни није могуће било спровести поступак легализације односно озакоњења, без предхоне израде и спровођења плана препарцелације. </w:t>
      </w:r>
    </w:p>
    <w:p>
      <w:pPr>
        <w:pStyle w:val="Normal"/>
        <w:shd w:val="clear" w:color="auto" w:fill="D9D9D9" w:themeFill="background1" w:themeFillShade="d9"/>
        <w:spacing w:before="240" w:after="0"/>
        <w:rPr>
          <w:b/>
        </w:rPr>
      </w:pPr>
      <w:r>
        <w:rPr>
          <w:b/>
        </w:rPr>
        <w:t xml:space="preserve">Назив насеља (НАЗИВ): </w:t>
      </w:r>
      <w:r>
        <w:rPr>
          <w:b/>
          <w:sz w:val="24"/>
          <w:szCs w:val="24"/>
        </w:rPr>
        <w:t>насеље СУСЕК - улица РИБАРСКА</w:t>
      </w:r>
    </w:p>
    <w:p>
      <w:pPr>
        <w:pStyle w:val="Normal"/>
        <w:numPr>
          <w:ilvl w:val="0"/>
          <w:numId w:val="2"/>
        </w:numPr>
        <w:shd w:val="clear" w:color="auto" w:fill="FFFFFF"/>
        <w:spacing w:lineRule="auto" w:line="276" w:before="240" w:after="200"/>
        <w:jc w:val="left"/>
        <w:rPr/>
      </w:pPr>
      <w:r>
        <w:rPr/>
        <w:t xml:space="preserve">Процењени број домаћинстава (БРОЈ): </w:t>
      </w:r>
      <w:r>
        <w:rPr>
          <w:b/>
          <w:bCs/>
        </w:rPr>
        <w:t>око 60</w:t>
      </w:r>
    </w:p>
    <w:p>
      <w:pPr>
        <w:pStyle w:val="Normal"/>
        <w:numPr>
          <w:ilvl w:val="0"/>
          <w:numId w:val="2"/>
        </w:numPr>
        <w:shd w:val="clear" w:color="auto" w:fill="FFFFFF"/>
        <w:spacing w:lineRule="auto" w:line="276" w:before="240" w:after="200"/>
        <w:jc w:val="left"/>
        <w:rPr/>
      </w:pPr>
      <w:r>
        <w:rPr/>
        <w:t>Процењени број становника (БРОЈ): нема податка</w:t>
      </w:r>
    </w:p>
    <w:p>
      <w:pPr>
        <w:pStyle w:val="Normal"/>
        <w:shd w:val="clear" w:color="auto" w:fill="FFFFFF"/>
        <w:rPr/>
      </w:pPr>
      <w:r>
        <w:rPr/>
        <w:t>Првобитни објекти су старог типа градње зидани у масивном систему са таваницама и кровном конструкцијом док су новије доградње грађене новијим угланом скелетним системом. С  обзиром да су све доградње ових објеката нелегално грађене, без предходне пројектне документације, не може се говорити о сигурности и стабилности истих.</w:t>
      </w:r>
      <w:r>
        <w:rPr>
          <w:b/>
          <w:bCs/>
        </w:rPr>
        <w:t xml:space="preserve"> </w:t>
      </w:r>
      <w:r>
        <w:rPr/>
        <w:t>Улица припада насељу Сусек, ЈКП „Беочин“ као вршиоц комуналне делатности има утврђену делатност одвожења комуналног отпада и на овој територији. ЈКП „Беочин“ као вршиоц комуналне делатности има утврђену делатност водоснабдевања насеља Сусек.</w:t>
      </w:r>
    </w:p>
    <w:p>
      <w:pPr>
        <w:pStyle w:val="Normal"/>
        <w:shd w:val="clear" w:color="auto" w:fill="FFFFFF"/>
        <w:rPr>
          <w:rFonts w:eastAsia="Calibri" w:eastAsiaTheme="minorHAnsi"/>
        </w:rPr>
      </w:pPr>
      <w:r>
        <w:rPr>
          <w:rFonts w:eastAsia="Calibri" w:eastAsiaTheme="minorHAnsi"/>
          <w:bCs/>
        </w:rPr>
        <w:t>Насеље Сусек комплетно нема изграђену канализациону прежу. Током 2023. године општина Беочин је издала грађевинску дозволу за изградњу исте, уз предходну припрему пројектно-техничке документације. Улица Рибарска ће бити обухваћена овом инвестицијом, чија су финансијска средства у плану обезбеђена за наредни период.</w:t>
      </w:r>
      <w:r>
        <w:rPr>
          <w:rFonts w:eastAsia="Calibri" w:eastAsiaTheme="minorHAnsi"/>
          <w:b/>
        </w:rPr>
        <w:t xml:space="preserve"> </w:t>
      </w:r>
      <w:r>
        <w:rPr>
          <w:rFonts w:eastAsia="Calibri" w:eastAsiaTheme="minorHAnsi"/>
        </w:rPr>
        <w:t xml:space="preserve">Према садашњем важећим планским документом дозвољена је изградња искључиво водонепропусних септичких јама. Али не располажемо подацима о изграђеним септичким јамама у овом делу насеља. </w:t>
      </w:r>
    </w:p>
    <w:p>
      <w:pPr>
        <w:pStyle w:val="Normal"/>
        <w:shd w:val="clear" w:color="auto" w:fill="FFFFFF"/>
        <w:rPr/>
      </w:pPr>
      <w:r>
        <w:rPr/>
        <w:t>Постоји изграђена ел.мрежа којом управља ЕПС „Огранак електродистибуција Нови Сад“. Подручје је комунално опремљено јавном расветом која се редовно одржава.</w:t>
      </w:r>
      <w:r>
        <w:rPr>
          <w:b/>
          <w:bCs/>
        </w:rPr>
        <w:t xml:space="preserve"> </w:t>
      </w:r>
      <w:r>
        <w:rPr/>
        <w:t>Постојеће приступне саобраћајнице су на „задовољавајућем“ нивоу. Коловоз је афсалтиран у  већем делу док је у мањој мери земљаног застора.</w:t>
      </w:r>
    </w:p>
    <w:p>
      <w:pPr>
        <w:pStyle w:val="Normal"/>
        <w:shd w:val="clear" w:color="auto" w:fill="FFFFFF"/>
        <w:spacing w:lineRule="auto" w:line="276" w:before="0" w:after="200"/>
        <w:jc w:val="left"/>
        <w:rPr>
          <w:rFonts w:eastAsia="Calibri" w:eastAsiaTheme="minorHAnsi"/>
          <w:bCs/>
        </w:rPr>
      </w:pPr>
      <w:r>
        <w:rPr>
          <w:rFonts w:eastAsia="Calibri" w:eastAsiaTheme="minorHAnsi"/>
          <w:bCs/>
        </w:rPr>
        <w:t>Важећи плански документ је План генералне регулације насеља Сусек („Сл.лист општина Срема“ бр. 20/2004) - директна примена.</w:t>
      </w:r>
    </w:p>
    <w:p>
      <w:pPr>
        <w:sectPr>
          <w:footerReference w:type="default" r:id="rId3"/>
          <w:type w:val="nextPage"/>
          <w:pgSz w:w="12240" w:h="15840"/>
          <w:pgMar w:left="1440" w:right="1440" w:gutter="0" w:header="0" w:top="1440" w:footer="720" w:bottom="1440"/>
          <w:pgNumType w:fmt="decimal"/>
          <w:formProt w:val="false"/>
          <w:titlePg/>
          <w:textDirection w:val="lrTb"/>
          <w:docGrid w:type="default" w:linePitch="360" w:charSpace="4096"/>
        </w:sectPr>
        <w:pStyle w:val="Normal"/>
        <w:shd w:val="clear" w:color="auto" w:fill="FFFFFF"/>
        <w:spacing w:lineRule="auto" w:line="276" w:before="0" w:after="200"/>
        <w:jc w:val="left"/>
        <w:rPr>
          <w:rFonts w:eastAsia="Calibri" w:eastAsiaTheme="minorHAnsi"/>
          <w:bCs/>
        </w:rPr>
      </w:pPr>
      <w:r>
        <w:rPr/>
        <w:t>Земљиште на којим су изграђени стамбени објекти је у већини случајева у приватној својини лица чији су објекти, нема јавне својине.</w:t>
      </w:r>
    </w:p>
    <w:p>
      <w:pPr>
        <w:pStyle w:val="Normal"/>
        <w:rPr>
          <w:b/>
          <w:bCs/>
          <w:i/>
          <w:i/>
          <w:iCs/>
        </w:rPr>
      </w:pPr>
      <w:r>
        <w:rPr>
          <w:b/>
          <w:bCs/>
          <w:i/>
          <w:iCs/>
        </w:rPr>
        <w:t>Пројектне иницијативе на локалном нивоу у општини Беочин у области становања</w:t>
      </w:r>
    </w:p>
    <w:tbl>
      <w:tblPr>
        <w:tblStyle w:val="TableGrid"/>
        <w:tblW w:w="129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455"/>
        <w:gridCol w:w="1255"/>
        <w:gridCol w:w="1257"/>
        <w:gridCol w:w="1271"/>
        <w:gridCol w:w="2435"/>
        <w:gridCol w:w="724"/>
        <w:gridCol w:w="657"/>
        <w:gridCol w:w="821"/>
        <w:gridCol w:w="1256"/>
        <w:gridCol w:w="818"/>
      </w:tblGrid>
      <w:tr>
        <w:trPr>
          <w:tblHeader w:val="true"/>
        </w:trPr>
        <w:tc>
          <w:tcPr>
            <w:tcW w:w="2455" w:type="dxa"/>
            <w:vMerge w:val="restart"/>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Назив пројекта</w:t>
            </w:r>
          </w:p>
        </w:tc>
        <w:tc>
          <w:tcPr>
            <w:tcW w:w="1255" w:type="dxa"/>
            <w:vMerge w:val="restart"/>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Носилац</w:t>
            </w:r>
          </w:p>
        </w:tc>
        <w:tc>
          <w:tcPr>
            <w:tcW w:w="1257" w:type="dxa"/>
            <w:vMerge w:val="restart"/>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Партнери</w:t>
            </w:r>
          </w:p>
        </w:tc>
        <w:tc>
          <w:tcPr>
            <w:tcW w:w="1271" w:type="dxa"/>
            <w:vMerge w:val="restart"/>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Период реализације</w:t>
            </w:r>
          </w:p>
        </w:tc>
        <w:tc>
          <w:tcPr>
            <w:tcW w:w="2435" w:type="dxa"/>
            <w:vMerge w:val="restart"/>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Циљ</w:t>
            </w:r>
          </w:p>
        </w:tc>
        <w:tc>
          <w:tcPr>
            <w:tcW w:w="4276" w:type="dxa"/>
            <w:gridSpan w:val="5"/>
            <w:tcBorders/>
            <w:shd w:color="auto" w:fill="8DB3E2" w:themeFill="text2" w:themeFillTint="66" w:val="clear"/>
            <w:vAlign w:val="center"/>
          </w:tcPr>
          <w:p>
            <w:pPr>
              <w:pStyle w:val="Normal"/>
              <w:widowControl w:val="false"/>
              <w:suppressAutoHyphens w:val="true"/>
              <w:spacing w:before="60" w:after="60"/>
              <w:jc w:val="center"/>
              <w:rPr>
                <w:b/>
                <w:sz w:val="18"/>
                <w:szCs w:val="18"/>
              </w:rPr>
            </w:pPr>
            <w:r>
              <w:rPr>
                <w:b/>
                <w:kern w:val="0"/>
                <w:sz w:val="18"/>
                <w:szCs w:val="18"/>
                <w:lang w:eastAsia="en-US" w:bidi="ar-SA"/>
              </w:rPr>
              <w:t>Вредност пројекта и извори</w:t>
            </w:r>
          </w:p>
        </w:tc>
      </w:tr>
      <w:tr>
        <w:trPr>
          <w:tblHeader w:val="true"/>
        </w:trPr>
        <w:tc>
          <w:tcPr>
            <w:tcW w:w="2455" w:type="dxa"/>
            <w:vMerge w:val="continue"/>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sz w:val="18"/>
                <w:szCs w:val="18"/>
              </w:rPr>
            </w:r>
          </w:p>
        </w:tc>
        <w:tc>
          <w:tcPr>
            <w:tcW w:w="1255" w:type="dxa"/>
            <w:vMerge w:val="continue"/>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sz w:val="18"/>
                <w:szCs w:val="18"/>
              </w:rPr>
            </w:r>
          </w:p>
        </w:tc>
        <w:tc>
          <w:tcPr>
            <w:tcW w:w="1257" w:type="dxa"/>
            <w:vMerge w:val="continue"/>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sz w:val="18"/>
                <w:szCs w:val="18"/>
              </w:rPr>
            </w:r>
          </w:p>
        </w:tc>
        <w:tc>
          <w:tcPr>
            <w:tcW w:w="1271" w:type="dxa"/>
            <w:vMerge w:val="continue"/>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sz w:val="18"/>
                <w:szCs w:val="18"/>
              </w:rPr>
            </w:r>
          </w:p>
        </w:tc>
        <w:tc>
          <w:tcPr>
            <w:tcW w:w="2435" w:type="dxa"/>
            <w:vMerge w:val="continue"/>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sz w:val="18"/>
                <w:szCs w:val="18"/>
              </w:rPr>
            </w:r>
          </w:p>
        </w:tc>
        <w:tc>
          <w:tcPr>
            <w:tcW w:w="724" w:type="dxa"/>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РСД/ ЕУР/ УСД</w:t>
            </w:r>
          </w:p>
        </w:tc>
        <w:tc>
          <w:tcPr>
            <w:tcW w:w="657" w:type="dxa"/>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Ук. вред.</w:t>
            </w:r>
          </w:p>
        </w:tc>
        <w:tc>
          <w:tcPr>
            <w:tcW w:w="821" w:type="dxa"/>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Учешће ЈЛС</w:t>
            </w:r>
          </w:p>
        </w:tc>
        <w:tc>
          <w:tcPr>
            <w:tcW w:w="1256" w:type="dxa"/>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Други извор</w:t>
            </w:r>
          </w:p>
        </w:tc>
        <w:tc>
          <w:tcPr>
            <w:tcW w:w="818" w:type="dxa"/>
            <w:tcBorders/>
            <w:shd w:color="auto" w:fill="8DB3E2" w:themeFill="text2" w:themeFillTint="66" w:val="clear"/>
            <w:vAlign w:val="center"/>
          </w:tcPr>
          <w:p>
            <w:pPr>
              <w:pStyle w:val="Normal"/>
              <w:widowControl w:val="false"/>
              <w:suppressAutoHyphens w:val="true"/>
              <w:spacing w:before="60" w:after="60"/>
              <w:jc w:val="left"/>
              <w:rPr>
                <w:b/>
                <w:sz w:val="18"/>
                <w:szCs w:val="18"/>
              </w:rPr>
            </w:pPr>
            <w:r>
              <w:rPr>
                <w:b/>
                <w:kern w:val="0"/>
                <w:sz w:val="18"/>
                <w:szCs w:val="18"/>
                <w:lang w:eastAsia="en-US" w:bidi="ar-SA"/>
              </w:rPr>
              <w:t>Учешће др. извора</w:t>
            </w:r>
          </w:p>
        </w:tc>
      </w:tr>
      <w:tr>
        <w:trPr/>
        <w:tc>
          <w:tcPr>
            <w:tcW w:w="2455"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Социјална инклузија за достојанствен живот Рома и други осетљивих група у Р.Србији</w:t>
            </w:r>
          </w:p>
        </w:tc>
        <w:tc>
          <w:tcPr>
            <w:tcW w:w="1255" w:type="dxa"/>
            <w:tcBorders/>
            <w:vAlign w:val="center"/>
          </w:tcPr>
          <w:p>
            <w:pPr>
              <w:pStyle w:val="Normal"/>
              <w:widowControl w:val="false"/>
              <w:suppressAutoHyphens w:val="true"/>
              <w:spacing w:before="60" w:after="60"/>
              <w:jc w:val="left"/>
              <w:rPr>
                <w:sz w:val="18"/>
                <w:szCs w:val="18"/>
                <w:lang w:val="sr-Latn-RS"/>
              </w:rPr>
            </w:pPr>
            <w:r>
              <w:rPr>
                <w:kern w:val="0"/>
                <w:sz w:val="18"/>
                <w:szCs w:val="18"/>
                <w:lang w:val="sr-Latn-RS" w:eastAsia="en-US" w:bidi="ar-SA"/>
              </w:rPr>
              <w:t>EXO</w:t>
            </w:r>
          </w:p>
        </w:tc>
        <w:tc>
          <w:tcPr>
            <w:tcW w:w="1257" w:type="dxa"/>
            <w:tcBorders/>
            <w:vAlign w:val="center"/>
          </w:tcPr>
          <w:p>
            <w:pPr>
              <w:pStyle w:val="Normal"/>
              <w:widowControl w:val="false"/>
              <w:suppressAutoHyphens w:val="true"/>
              <w:spacing w:before="60" w:after="60"/>
              <w:jc w:val="left"/>
              <w:rPr>
                <w:sz w:val="18"/>
                <w:szCs w:val="18"/>
                <w:lang w:val="sr-Latn-RS"/>
              </w:rPr>
            </w:pPr>
            <w:r>
              <w:rPr>
                <w:kern w:val="0"/>
                <w:sz w:val="18"/>
                <w:szCs w:val="18"/>
                <w:lang w:val="sr-Latn-RS" w:eastAsia="en-US" w:bidi="ar-SA"/>
              </w:rPr>
              <w:t>JLS</w:t>
            </w:r>
          </w:p>
        </w:tc>
        <w:tc>
          <w:tcPr>
            <w:tcW w:w="1271" w:type="dxa"/>
            <w:tcBorders/>
            <w:vAlign w:val="center"/>
          </w:tcPr>
          <w:p>
            <w:pPr>
              <w:pStyle w:val="Normal"/>
              <w:widowControl w:val="false"/>
              <w:suppressAutoHyphens w:val="true"/>
              <w:spacing w:before="60" w:after="60"/>
              <w:jc w:val="left"/>
              <w:rPr>
                <w:sz w:val="18"/>
                <w:szCs w:val="18"/>
                <w:lang w:val="sr-Latn-RS"/>
              </w:rPr>
            </w:pPr>
            <w:r>
              <w:rPr>
                <w:kern w:val="0"/>
                <w:sz w:val="18"/>
                <w:szCs w:val="18"/>
                <w:lang w:eastAsia="en-US" w:bidi="ar-SA"/>
              </w:rPr>
              <w:t>202</w:t>
            </w:r>
            <w:r>
              <w:rPr>
                <w:kern w:val="0"/>
                <w:sz w:val="18"/>
                <w:szCs w:val="18"/>
                <w:lang w:val="sr-Latn-RS" w:eastAsia="en-US" w:bidi="ar-SA"/>
              </w:rPr>
              <w:t>3-2026</w:t>
            </w:r>
          </w:p>
        </w:tc>
        <w:tc>
          <w:tcPr>
            <w:tcW w:w="2435"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Израда пројекта препарцелације због решавања имовинско правних односа и озакоњења за насеља колонија 1 и 2.</w:t>
            </w:r>
          </w:p>
        </w:tc>
        <w:tc>
          <w:tcPr>
            <w:tcW w:w="724"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657"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821"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1256"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818"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r>
      <w:tr>
        <w:trPr/>
        <w:tc>
          <w:tcPr>
            <w:tcW w:w="2455"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Економска и социјална инклузија Рома и повратника у Србији</w:t>
            </w:r>
          </w:p>
        </w:tc>
        <w:tc>
          <w:tcPr>
            <w:tcW w:w="1255"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Форум Рома Србије</w:t>
            </w:r>
          </w:p>
        </w:tc>
        <w:tc>
          <w:tcPr>
            <w:tcW w:w="1257"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ЈЛС</w:t>
            </w:r>
          </w:p>
        </w:tc>
        <w:tc>
          <w:tcPr>
            <w:tcW w:w="1271"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2022-2026</w:t>
            </w:r>
          </w:p>
        </w:tc>
        <w:tc>
          <w:tcPr>
            <w:tcW w:w="2435"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Правна помоћ у процесу озакоњења објеката</w:t>
            </w:r>
          </w:p>
        </w:tc>
        <w:tc>
          <w:tcPr>
            <w:tcW w:w="724"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657"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821"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1256"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c>
          <w:tcPr>
            <w:tcW w:w="818" w:type="dxa"/>
            <w:tcBorders/>
            <w:vAlign w:val="center"/>
          </w:tcPr>
          <w:p>
            <w:pPr>
              <w:pStyle w:val="Normal"/>
              <w:widowControl w:val="false"/>
              <w:suppressAutoHyphens w:val="true"/>
              <w:spacing w:before="60" w:after="60"/>
              <w:jc w:val="left"/>
              <w:rPr>
                <w:sz w:val="18"/>
                <w:szCs w:val="18"/>
              </w:rPr>
            </w:pPr>
            <w:r>
              <w:rPr>
                <w:kern w:val="0"/>
                <w:sz w:val="18"/>
                <w:szCs w:val="18"/>
                <w:lang w:eastAsia="en-US" w:bidi="ar-SA"/>
              </w:rPr>
              <w:t>-</w:t>
            </w:r>
          </w:p>
        </w:tc>
      </w:tr>
    </w:tbl>
    <w:p>
      <w:pPr>
        <w:sectPr>
          <w:footerReference w:type="default" r:id="rId4"/>
          <w:footerReference w:type="first" r:id="rId5"/>
          <w:type w:val="nextPage"/>
          <w:pgSz w:orient="landscape" w:w="15840" w:h="12240"/>
          <w:pgMar w:left="1440" w:right="1440" w:gutter="0" w:header="0" w:top="1440" w:footer="720" w:bottom="1440"/>
          <w:pgNumType w:fmt="decimal"/>
          <w:formProt w:val="false"/>
          <w:textDirection w:val="lrTb"/>
          <w:docGrid w:type="default" w:linePitch="360" w:charSpace="4096"/>
        </w:sectPr>
      </w:pPr>
    </w:p>
    <w:p>
      <w:pPr>
        <w:pStyle w:val="1"/>
        <w:rPr/>
      </w:pPr>
      <w:bookmarkStart w:id="13" w:name="_Toc184550033"/>
      <w:r>
        <w:rPr>
          <w:i/>
          <w:iCs/>
        </w:rPr>
        <w:t>SWOT</w:t>
      </w:r>
      <w:r>
        <w:rPr/>
        <w:t xml:space="preserve"> анализа</w:t>
      </w:r>
      <w:bookmarkEnd w:id="13"/>
    </w:p>
    <w:p>
      <w:pPr>
        <w:pStyle w:val="Normal"/>
        <w:spacing w:lineRule="auto" w:line="276" w:before="0" w:after="60"/>
        <w:rPr/>
      </w:pPr>
      <w:r>
        <w:rPr/>
      </w:r>
    </w:p>
    <w:p>
      <w:pPr>
        <w:pStyle w:val="Normal"/>
        <w:rPr/>
      </w:pPr>
      <w:r>
        <w:rPr>
          <w:i/>
          <w:iCs/>
        </w:rPr>
        <w:t>SWOT</w:t>
      </w:r>
      <w:r>
        <w:rPr/>
        <w:t xml:space="preserve"> анализа је инструмент стратегијског планирања који има широку примену у планирању корпоративног, институционалног, личног, али и у планирању развоја заједнице (града/општине)</w:t>
      </w:r>
    </w:p>
    <w:p>
      <w:pPr>
        <w:pStyle w:val="Normal"/>
        <w:rPr/>
      </w:pPr>
      <w:r>
        <w:rPr>
          <w:i/>
          <w:iCs/>
        </w:rPr>
        <w:t xml:space="preserve">SWOT </w:t>
      </w:r>
      <w:r>
        <w:rPr/>
        <w:t xml:space="preserve">анализа је једноставна техника за идентификовање и разумевање </w:t>
      </w:r>
      <w:r>
        <w:rPr>
          <w:b/>
          <w:bCs/>
        </w:rPr>
        <w:t>унутрашњих</w:t>
      </w:r>
      <w:r>
        <w:rPr/>
        <w:t xml:space="preserve"> снага и слабости организације (било које организације, укључујући и ЈЛС) и за идентификовање </w:t>
      </w:r>
      <w:r>
        <w:rPr>
          <w:b/>
          <w:bCs/>
        </w:rPr>
        <w:t>спољашњих</w:t>
      </w:r>
      <w:r>
        <w:rPr/>
        <w:t xml:space="preserve"> могућности (шанси) и претњи са којима се организација суочава.</w:t>
      </w:r>
    </w:p>
    <w:p>
      <w:pPr>
        <w:pStyle w:val="Normal"/>
        <w:rPr/>
      </w:pPr>
      <w:r>
        <w:rPr/>
      </w:r>
    </w:p>
    <w:p>
      <w:pPr>
        <w:pStyle w:val="Normal"/>
        <w:rPr/>
      </w:pPr>
      <w:r>
        <w:rPr>
          <w:b/>
          <w:bCs/>
        </w:rPr>
        <w:t xml:space="preserve">Циљеви </w:t>
      </w:r>
      <w:r>
        <w:rPr>
          <w:i/>
          <w:iCs/>
        </w:rPr>
        <w:t>SWOT</w:t>
      </w:r>
      <w:r>
        <w:rPr/>
        <w:t xml:space="preserve"> анализе су:</w:t>
      </w:r>
    </w:p>
    <w:p>
      <w:pPr>
        <w:pStyle w:val="ListParagraph"/>
        <w:numPr>
          <w:ilvl w:val="0"/>
          <w:numId w:val="7"/>
        </w:numPr>
        <w:rPr/>
      </w:pPr>
      <w:r>
        <w:rPr/>
        <w:t>Боље разумевање тренутне ситуације/проблема у којој се налазимо</w:t>
      </w:r>
      <w:r>
        <w:rPr>
          <w:lang w:val="sr-Latn-RS"/>
        </w:rPr>
        <w:t>;</w:t>
      </w:r>
    </w:p>
    <w:p>
      <w:pPr>
        <w:pStyle w:val="ListParagraph"/>
        <w:numPr>
          <w:ilvl w:val="0"/>
          <w:numId w:val="7"/>
        </w:numPr>
        <w:rPr/>
      </w:pPr>
      <w:r>
        <w:rPr/>
        <w:t>Планирање развоја на ефикасном искоришћавању ресурса, снага и предности којима располажемо, и на минимизирању утицаја слабости и мана које нас оптерећују</w:t>
      </w:r>
      <w:r>
        <w:rPr>
          <w:lang w:val="sr-Latn-RS"/>
        </w:rPr>
        <w:t>;</w:t>
      </w:r>
    </w:p>
    <w:p>
      <w:pPr>
        <w:pStyle w:val="ListParagraph"/>
        <w:numPr>
          <w:ilvl w:val="0"/>
          <w:numId w:val="7"/>
        </w:numPr>
        <w:rPr/>
      </w:pPr>
      <w:r>
        <w:rPr/>
        <w:t>Откривање шанси и могућности на којима можемо засновати развојну стратегију</w:t>
      </w:r>
      <w:r>
        <w:rPr>
          <w:lang w:val="sr-Latn-RS"/>
        </w:rPr>
        <w:t>;</w:t>
      </w:r>
    </w:p>
    <w:p>
      <w:pPr>
        <w:pStyle w:val="ListParagraph"/>
        <w:numPr>
          <w:ilvl w:val="0"/>
          <w:numId w:val="7"/>
        </w:numPr>
        <w:rPr/>
      </w:pPr>
      <w:r>
        <w:rPr/>
        <w:t>Идентификација спољашњих претњи и ризика које нам могу пореметити планове, као и планирање смањења њиховог утицаја.</w:t>
      </w:r>
    </w:p>
    <w:p>
      <w:pPr>
        <w:pStyle w:val="Normal"/>
        <w:rPr/>
      </w:pPr>
      <w:r>
        <w:rPr>
          <w:b/>
          <w:bCs/>
        </w:rPr>
        <w:t xml:space="preserve">Елементи </w:t>
      </w:r>
      <w:r>
        <w:rPr>
          <w:i/>
          <w:iCs/>
        </w:rPr>
        <w:t>SWOT</w:t>
      </w:r>
      <w:r>
        <w:rPr/>
        <w:t xml:space="preserve"> анализе су:</w:t>
      </w:r>
    </w:p>
    <w:p>
      <w:pPr>
        <w:pStyle w:val="ListParagraph"/>
        <w:numPr>
          <w:ilvl w:val="0"/>
          <w:numId w:val="8"/>
        </w:numPr>
        <w:rPr/>
      </w:pPr>
      <w:r>
        <w:rPr/>
        <w:t>Унутрашњи фактори: СНАГЕ и СЛАБОСТИ које одликују локалну заједницу. ЈЛС има утицаја на ове факторе</w:t>
      </w:r>
      <w:r>
        <w:rPr>
          <w:lang w:val="en-US"/>
        </w:rPr>
        <w:t>;</w:t>
      </w:r>
    </w:p>
    <w:p>
      <w:pPr>
        <w:pStyle w:val="ListParagraph"/>
        <w:numPr>
          <w:ilvl w:val="0"/>
          <w:numId w:val="8"/>
        </w:numPr>
        <w:rPr/>
      </w:pPr>
      <w:r>
        <w:rPr/>
        <w:t>Спољашњи фактори: ШАНСЕ и ПРЕТЊЕ које стоје на располагању или могу да угрозе спровођење стратегије. ЈЛС нема утицаја на ове факторе.</w:t>
      </w:r>
    </w:p>
    <w:p>
      <w:pPr>
        <w:pStyle w:val="Normal"/>
        <w:rPr/>
      </w:pPr>
      <w:r>
        <w:rPr/>
      </w:r>
    </w:p>
    <w:p>
      <w:pPr>
        <w:pStyle w:val="Normal"/>
        <w:rPr/>
      </w:pPr>
      <w:r>
        <w:rPr/>
        <w:t>Објективно идентификоване снаге чине одличну основу за развој, те је битно знати чиме располажемо и шта од тога можемо још боље да искористимо. Објективно идентификоване слабости ће нам помоћи да сагледамо начине како да минимизујемо њихов утицај на даљи развој заједнице, јер на њих можемо да утичемо.</w:t>
      </w:r>
    </w:p>
    <w:p>
      <w:pPr>
        <w:pStyle w:val="Normal"/>
        <w:rPr/>
      </w:pPr>
      <w:r>
        <w:rPr/>
        <w:t>Добра анализа постојећих шанси нам може помоћи у сагледавању прилика из спољашњег окружења које можемо искористити за бржи развој. Добра анализа претњи ће нам помоћи у сагледавању  ризика који могу да угрозе наше планове развоја  и у изради алтернатива/решења како бисмо се са њима изборили.</w:t>
      </w:r>
    </w:p>
    <w:p>
      <w:pPr>
        <w:pStyle w:val="Normal"/>
        <w:rPr/>
      </w:pPr>
      <w:r>
        <w:rPr/>
        <w:t>SWOT анализа представљена у наставку је резултат радионица које су одржане са представницима заинтересованих страна. Заснована је на анализи доступних статистичких података, који су представљени у овом документу и на проценама представника заинтересованих страна. Резултати анализе су представљени посебно за сваку област у фокусу овог локалног акционог плана: образовање, запошљавање, становање, здравство и социјална заштита.</w:t>
      </w:r>
    </w:p>
    <w:p>
      <w:pPr>
        <w:pStyle w:val="Normal"/>
        <w:rPr>
          <w:color w:val="0070C0"/>
        </w:rPr>
      </w:pPr>
      <w:r>
        <w:rPr>
          <w:color w:val="0070C0"/>
        </w:rPr>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r>
        <w:br w:type="page"/>
      </w:r>
    </w:p>
    <w:p>
      <w:pPr>
        <w:pStyle w:val="2"/>
        <w:numPr>
          <w:ilvl w:val="0"/>
          <w:numId w:val="0"/>
        </w:numPr>
        <w:spacing w:before="0" w:after="0"/>
        <w:ind w:left="576" w:hanging="576"/>
        <w:rPr/>
      </w:pPr>
      <w:r>
        <w:rPr/>
      </w:r>
    </w:p>
    <w:p>
      <w:pPr>
        <w:pStyle w:val="Normal"/>
        <w:rPr/>
      </w:pPr>
      <w:r>
        <w:rPr/>
      </w:r>
    </w:p>
    <w:p>
      <w:pPr>
        <w:pStyle w:val="2"/>
        <w:rPr/>
      </w:pPr>
      <w:bookmarkStart w:id="14" w:name="_Toc184550034"/>
      <w:bookmarkStart w:id="15" w:name="_Toc59721974"/>
      <w:r>
        <w:rPr/>
        <w:t>Становање</w:t>
      </w:r>
      <w:bookmarkEnd w:id="14"/>
      <w:bookmarkEnd w:id="15"/>
    </w:p>
    <w:p>
      <w:pPr>
        <w:pStyle w:val="Normal"/>
        <w:rPr/>
      </w:pPr>
      <w:r>
        <w:rPr/>
      </w:r>
    </w:p>
    <w:tbl>
      <w:tblPr>
        <w:tblStyle w:val="TableGrid"/>
        <w:tblW w:w="935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71"/>
        <w:gridCol w:w="4678"/>
      </w:tblGrid>
      <w:tr>
        <w:trPr/>
        <w:tc>
          <w:tcPr>
            <w:tcW w:w="4671" w:type="dxa"/>
            <w:tcBorders>
              <w:top w:val="single" w:sz="4" w:space="0" w:color="FFFFFF"/>
              <w:left w:val="single" w:sz="4" w:space="0" w:color="FFFFFF"/>
              <w:bottom w:val="single" w:sz="4" w:space="0" w:color="FFFFFF"/>
              <w:right w:val="single" w:sz="4" w:space="0" w:color="FFFFFF"/>
            </w:tcBorders>
            <w:shd w:color="auto" w:fill="365F91" w:themeFill="accent1" w:themeFillShade="bf" w:val="clear"/>
            <w:vAlign w:val="center"/>
          </w:tcPr>
          <w:p>
            <w:pPr>
              <w:pStyle w:val="Normal"/>
              <w:widowControl w:val="false"/>
              <w:suppressAutoHyphens w:val="true"/>
              <w:spacing w:before="0" w:after="0"/>
              <w:jc w:val="center"/>
              <w:rPr>
                <w:b/>
                <w:bCs/>
                <w:color w:val="FFFFFF" w:themeColor="background1"/>
                <w:sz w:val="32"/>
                <w:szCs w:val="32"/>
              </w:rPr>
            </w:pPr>
            <w:r>
              <w:rPr>
                <w:b/>
                <w:bCs/>
                <w:color w:val="FFFFFF" w:themeColor="background1"/>
                <w:kern w:val="0"/>
                <w:sz w:val="32"/>
                <w:szCs w:val="32"/>
                <w:lang w:eastAsia="en-US" w:bidi="ar-SA"/>
              </w:rPr>
              <w:t>СНАГЕ</w:t>
            </w:r>
          </w:p>
        </w:tc>
        <w:tc>
          <w:tcPr>
            <w:tcW w:w="4678" w:type="dxa"/>
            <w:tcBorders>
              <w:top w:val="single" w:sz="4" w:space="0" w:color="FFFFFF"/>
              <w:left w:val="single" w:sz="4" w:space="0" w:color="FFFFFF"/>
              <w:bottom w:val="single" w:sz="4" w:space="0" w:color="FFFFFF"/>
              <w:right w:val="single" w:sz="4" w:space="0" w:color="FFFFFF"/>
            </w:tcBorders>
            <w:shd w:color="auto" w:fill="365F91" w:themeFill="accent1" w:themeFillShade="bf" w:val="clear"/>
            <w:vAlign w:val="center"/>
          </w:tcPr>
          <w:p>
            <w:pPr>
              <w:pStyle w:val="Normal"/>
              <w:widowControl w:val="false"/>
              <w:suppressAutoHyphens w:val="true"/>
              <w:spacing w:before="0" w:after="0"/>
              <w:jc w:val="center"/>
              <w:rPr>
                <w:b/>
                <w:bCs/>
                <w:color w:val="FFFFFF" w:themeColor="background1"/>
                <w:sz w:val="32"/>
                <w:szCs w:val="32"/>
              </w:rPr>
            </w:pPr>
            <w:r>
              <w:rPr>
                <w:b/>
                <w:bCs/>
                <w:color w:val="FFFFFF" w:themeColor="background1"/>
                <w:kern w:val="0"/>
                <w:sz w:val="32"/>
                <w:szCs w:val="32"/>
                <w:lang w:eastAsia="en-US" w:bidi="ar-SA"/>
              </w:rPr>
              <w:t>СЛАБОСТИ</w:t>
            </w:r>
          </w:p>
        </w:tc>
      </w:tr>
      <w:tr>
        <w:trPr/>
        <w:tc>
          <w:tcPr>
            <w:tcW w:w="4671" w:type="dxa"/>
            <w:tcBorders>
              <w:top w:val="single" w:sz="4" w:space="0" w:color="FFFFFF"/>
              <w:left w:val="single" w:sz="4" w:space="0" w:color="FFFFFF"/>
              <w:bottom w:val="single" w:sz="4" w:space="0" w:color="FFFFFF"/>
              <w:right w:val="single" w:sz="4" w:space="0" w:color="FFFFFF"/>
            </w:tcBorders>
            <w:shd w:color="auto" w:fill="DBE5F1" w:themeFill="accent1" w:themeFillTint="33" w:val="clear"/>
          </w:tcPr>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ЈЛС је упозната са проблемима становања ромске заједнице и пружају помоћ у решавању проблема – постоји евиденција и попис</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Већи део нелегализованих објекти су у процесу легализације</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Подршка ЈЛС у унапређењу становања породица, у случајевима потреба, кроз  подршка у материјалу и/или опремању, кроз једнократну помоћ</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Потпун обухват постојећом основном инфраструктуром – постоје прикључци на воду и струју</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Приступ гасу (на поједињеним локацијама</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Постоји планска документација – просторни план и план генералне регулације</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Информисаност и мотивисаност припадника ромске заједнице о могућностима и правима која би могла да побољшају услове становања</w:t>
            </w:r>
          </w:p>
        </w:tc>
        <w:tc>
          <w:tcPr>
            <w:tcW w:w="4678" w:type="dxa"/>
            <w:tcBorders>
              <w:top w:val="single" w:sz="4" w:space="0" w:color="FFFFFF"/>
              <w:left w:val="single" w:sz="4" w:space="0" w:color="FFFFFF"/>
              <w:bottom w:val="single" w:sz="4" w:space="0" w:color="FFFFFF"/>
              <w:right w:val="single" w:sz="4" w:space="0" w:color="FFFFFF"/>
            </w:tcBorders>
            <w:shd w:color="auto" w:fill="DBE5F1" w:themeFill="accent1" w:themeFillTint="33" w:val="clear"/>
          </w:tcPr>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Нерешени имовинско-правни односи, као предуслов за озакоњење објеката или материјалну подршку – објекти у којима живе ромске породице се често не воде на њихово име</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Лоши услови становања неких припадника ромске популације. Неке куће су преко 50 година старе,  неке немају купатило</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Непостојање канализационе мреже  и неким деловима општоне Беочин</w:t>
            </w:r>
          </w:p>
          <w:p>
            <w:pPr>
              <w:pStyle w:val="Normal"/>
              <w:widowControl w:val="false"/>
              <w:numPr>
                <w:ilvl w:val="0"/>
                <w:numId w:val="9"/>
              </w:numPr>
              <w:suppressAutoHyphens w:val="true"/>
              <w:spacing w:before="0" w:after="0"/>
              <w:jc w:val="left"/>
              <w:rPr>
                <w:sz w:val="20"/>
                <w:szCs w:val="20"/>
              </w:rPr>
            </w:pPr>
            <w:bookmarkStart w:id="16" w:name="_Hlk41299641"/>
            <w:r>
              <w:rPr>
                <w:kern w:val="0"/>
                <w:sz w:val="20"/>
                <w:szCs w:val="20"/>
                <w:lang w:eastAsia="en-US" w:bidi="ar-SA"/>
              </w:rPr>
              <w:t>Непостојање довољног броја социјалних станова</w:t>
            </w:r>
            <w:bookmarkEnd w:id="16"/>
            <w:r>
              <w:rPr>
                <w:kern w:val="0"/>
                <w:sz w:val="20"/>
                <w:szCs w:val="20"/>
                <w:lang w:eastAsia="en-US" w:bidi="ar-SA"/>
              </w:rPr>
              <w:t xml:space="preserve"> или објеката за дугорочни или краткорочни смештај особа са потребама за тим</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Ниска укљученост припадника ромске заједнице у решавање проблема стамбених питања</w:t>
            </w:r>
          </w:p>
        </w:tc>
      </w:tr>
      <w:tr>
        <w:trPr/>
        <w:tc>
          <w:tcPr>
            <w:tcW w:w="4671" w:type="dxa"/>
            <w:tcBorders>
              <w:top w:val="single" w:sz="4" w:space="0" w:color="FFFFFF"/>
              <w:left w:val="single" w:sz="4" w:space="0" w:color="FFFFFF"/>
              <w:bottom w:val="single" w:sz="4" w:space="0" w:color="FFFFFF"/>
              <w:right w:val="single" w:sz="4" w:space="0" w:color="FFFFFF"/>
            </w:tcBorders>
            <w:shd w:color="auto" w:fill="365F91" w:themeFill="accent1" w:themeFillShade="bf" w:val="clear"/>
            <w:vAlign w:val="center"/>
          </w:tcPr>
          <w:p>
            <w:pPr>
              <w:pStyle w:val="Normal"/>
              <w:widowControl w:val="false"/>
              <w:suppressAutoHyphens w:val="true"/>
              <w:spacing w:before="0" w:after="0"/>
              <w:jc w:val="center"/>
              <w:rPr>
                <w:b/>
                <w:bCs/>
                <w:color w:val="FFFFFF" w:themeColor="background1"/>
                <w:sz w:val="32"/>
                <w:szCs w:val="32"/>
              </w:rPr>
            </w:pPr>
            <w:r>
              <w:rPr>
                <w:b/>
                <w:bCs/>
                <w:color w:val="FFFFFF" w:themeColor="background1"/>
                <w:kern w:val="0"/>
                <w:sz w:val="32"/>
                <w:szCs w:val="32"/>
                <w:lang w:eastAsia="en-US" w:bidi="ar-SA"/>
              </w:rPr>
              <w:t>ШАНСЕ</w:t>
            </w:r>
          </w:p>
        </w:tc>
        <w:tc>
          <w:tcPr>
            <w:tcW w:w="4678" w:type="dxa"/>
            <w:tcBorders>
              <w:top w:val="single" w:sz="4" w:space="0" w:color="FFFFFF"/>
              <w:left w:val="single" w:sz="4" w:space="0" w:color="FFFFFF"/>
              <w:bottom w:val="single" w:sz="4" w:space="0" w:color="FFFFFF"/>
              <w:right w:val="single" w:sz="4" w:space="0" w:color="FFFFFF"/>
            </w:tcBorders>
            <w:shd w:color="auto" w:fill="365F91" w:themeFill="accent1" w:themeFillShade="bf" w:val="clear"/>
            <w:vAlign w:val="center"/>
          </w:tcPr>
          <w:p>
            <w:pPr>
              <w:pStyle w:val="Normal"/>
              <w:widowControl w:val="false"/>
              <w:suppressAutoHyphens w:val="true"/>
              <w:spacing w:before="0" w:after="0"/>
              <w:jc w:val="center"/>
              <w:rPr>
                <w:b/>
                <w:bCs/>
                <w:color w:val="FFFFFF" w:themeColor="background1"/>
                <w:sz w:val="32"/>
                <w:szCs w:val="32"/>
              </w:rPr>
            </w:pPr>
            <w:r>
              <w:rPr>
                <w:b/>
                <w:bCs/>
                <w:color w:val="FFFFFF" w:themeColor="background1"/>
                <w:kern w:val="0"/>
                <w:sz w:val="32"/>
                <w:szCs w:val="32"/>
                <w:lang w:eastAsia="en-US" w:bidi="ar-SA"/>
              </w:rPr>
              <w:t>ПРЕТЊЕ</w:t>
            </w:r>
          </w:p>
        </w:tc>
      </w:tr>
      <w:tr>
        <w:trPr/>
        <w:tc>
          <w:tcPr>
            <w:tcW w:w="4671" w:type="dxa"/>
            <w:tcBorders>
              <w:top w:val="single" w:sz="4" w:space="0" w:color="FFFFFF"/>
              <w:left w:val="single" w:sz="4" w:space="0" w:color="FFFFFF"/>
              <w:bottom w:val="single" w:sz="4" w:space="0" w:color="FFFFFF"/>
              <w:right w:val="single" w:sz="4" w:space="0" w:color="FFFFFF"/>
            </w:tcBorders>
            <w:shd w:color="auto" w:fill="DBE5F1" w:themeFill="accent1" w:themeFillTint="33" w:val="clear"/>
          </w:tcPr>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Постојање конкурса у оквиру програма ЕУ инклузији Рома у Србији – подршка за израду техничке документације за инфраструктуру, као и за подршку у легализацији</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Постојање конкурса покрајинског Секретаријата за социјалну политику за унапређење услова становања Рома</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Међународни конкурси и донаторска средства</w:t>
            </w:r>
          </w:p>
        </w:tc>
        <w:tc>
          <w:tcPr>
            <w:tcW w:w="4678" w:type="dxa"/>
            <w:tcBorders>
              <w:top w:val="single" w:sz="4" w:space="0" w:color="FFFFFF"/>
              <w:left w:val="single" w:sz="4" w:space="0" w:color="FFFFFF"/>
              <w:bottom w:val="single" w:sz="4" w:space="0" w:color="FFFFFF"/>
              <w:right w:val="single" w:sz="4" w:space="0" w:color="FFFFFF"/>
            </w:tcBorders>
            <w:shd w:color="auto" w:fill="DBE5F1" w:themeFill="accent1" w:themeFillTint="33" w:val="clear"/>
          </w:tcPr>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Ниска свест/мотивисаност ромске заједнице за решавање имовинско-правних односа</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Елементарне непогоде, атмосферска вода</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Промена државне политике по питању инклузије Рома</w:t>
            </w:r>
          </w:p>
          <w:p>
            <w:pPr>
              <w:pStyle w:val="Normal"/>
              <w:widowControl w:val="false"/>
              <w:numPr>
                <w:ilvl w:val="0"/>
                <w:numId w:val="9"/>
              </w:numPr>
              <w:suppressAutoHyphens w:val="true"/>
              <w:spacing w:before="0" w:after="0"/>
              <w:jc w:val="left"/>
              <w:rPr>
                <w:sz w:val="20"/>
                <w:szCs w:val="20"/>
              </w:rPr>
            </w:pPr>
            <w:r>
              <w:rPr>
                <w:kern w:val="0"/>
                <w:sz w:val="20"/>
                <w:szCs w:val="20"/>
                <w:lang w:eastAsia="en-US" w:bidi="ar-SA"/>
              </w:rPr>
              <w:t>Нередовно плаћање рачуна за комуналне услуге од стране дела ромске популације</w:t>
            </w:r>
          </w:p>
        </w:tc>
      </w:tr>
    </w:tbl>
    <w:p>
      <w:pPr>
        <w:pStyle w:val="Normal"/>
        <w:rPr/>
      </w:pPr>
      <w:r>
        <w:rPr/>
      </w:r>
    </w:p>
    <w:p>
      <w:pPr>
        <w:pStyle w:val="Normal"/>
        <w:rPr/>
      </w:pPr>
      <w:r>
        <w:rPr/>
        <w:t>Општина Беочин је посвећена решавању проблема становања, што се огледа у редовном издвајању средстава из буџета за ове намене. Запослени у Општини су добро упознати са проблемима становања ромске заједнице и пружају помоћ у решавању тих проблема. У Беочину постоји планска документација у ромским насељима (просторни план и план генералне регулације. Осим канализације, у општини је обухват осталом инфраструктуром потпун. Ромска популација је добро информисана о могућностима побољшања услова становања.</w:t>
      </w:r>
    </w:p>
    <w:p>
      <w:pPr>
        <w:pStyle w:val="Normal"/>
        <w:rPr/>
      </w:pPr>
      <w:r>
        <w:rPr/>
        <w:t>Са друге стране, Беочин има и низ слабости у области становања, које се огледају у нерешеним имовинско-правни односима (објекти у којима живе ромске породице се често не воде на њихово име), а поједини припадници ромске популације живе у лошим условима становања (старе куће, недостатак купатила). Иако локална самоуправа издваја  учествује у пројектним иницијативама за унапређење квалитета становања ромске популације, та средства ипак нису довољна да би се решили сви кључни проблеми са којима се ромска заједница суочава. У општини не постоје социјални станови или други облици дугорочног или краткорочног смештаја особа са потребама за тим.</w:t>
      </w:r>
    </w:p>
    <w:p>
      <w:pPr>
        <w:pStyle w:val="Normal"/>
        <w:rPr/>
      </w:pPr>
      <w:r>
        <w:rPr/>
        <w:t>Локална самоуправа као главне шансе за унапређење тренутне ситуације може користити могућности које пружају конкурси на националном, покрајинском и међународном нивоу, као и унапређење сарадње са националним институцијама и другим локалним самоуправама у окружењу.</w:t>
      </w:r>
    </w:p>
    <w:p>
      <w:pPr>
        <w:pStyle w:val="Normal"/>
        <w:rPr/>
      </w:pPr>
      <w:r>
        <w:rPr/>
        <w:t>Општина Беочин треба да осмисли и имплементира низ активности како би се спречиле околности које могу да доведу до даљег погоршања услова становања, а које се огледају примарно у елементарним непогодама и утицају атмосферских вода, као и ниској мотивисаности ромске популације за решавање проблема из области становања.</w:t>
      </w:r>
    </w:p>
    <w:p>
      <w:pPr>
        <w:pStyle w:val="Normal"/>
        <w:rPr/>
      </w:pPr>
      <w:r>
        <w:rPr/>
      </w:r>
      <w:r>
        <w:br w:type="page"/>
      </w:r>
    </w:p>
    <w:p>
      <w:pPr>
        <w:pStyle w:val="2"/>
        <w:numPr>
          <w:ilvl w:val="0"/>
          <w:numId w:val="0"/>
        </w:numPr>
        <w:spacing w:before="0" w:after="0"/>
        <w:ind w:left="0" w:hanging="0"/>
        <w:rPr/>
      </w:pPr>
      <w:r>
        <w:rPr/>
      </w:r>
    </w:p>
    <w:p>
      <w:pPr>
        <w:pStyle w:val="Normal"/>
        <w:rPr/>
      </w:pPr>
      <w:r>
        <w:rPr/>
      </w:r>
    </w:p>
    <w:p>
      <w:pPr>
        <w:pStyle w:val="1"/>
        <w:spacing w:lineRule="auto" w:line="276" w:before="0" w:after="60"/>
        <w:rPr/>
      </w:pPr>
      <w:bookmarkStart w:id="17" w:name="_Toc184550035"/>
      <w:bookmarkStart w:id="18" w:name="_Toc70327797"/>
      <w:r>
        <w:rPr/>
        <w:t>ЦИЉЕВИ И МЕРЕ</w:t>
      </w:r>
      <w:bookmarkEnd w:id="17"/>
      <w:bookmarkEnd w:id="18"/>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Normal"/>
        <w:rPr/>
      </w:pPr>
      <w:r>
        <w:rPr/>
        <w:t xml:space="preserve">Општи циљ Локалног акционог плана за социјално укључивање Рома и Ромкиња Општине Беочин за период 2025 - 2027. године је: </w:t>
      </w:r>
      <w:r>
        <w:rPr>
          <w:b/>
          <w:bCs/>
        </w:rPr>
        <w:t>Побољшати квалитет живота Рома и Ромкиња у општини Беочин.</w:t>
      </w:r>
    </w:p>
    <w:p>
      <w:pPr>
        <w:pStyle w:val="Normal"/>
        <w:rPr/>
      </w:pPr>
      <w:r>
        <w:rPr/>
        <w:t>ЛАП има један посебан циљ који доприноси остварењу општег циља релевантан за социјално укључивање ромске националне мањине који се односи на  становање:</w:t>
      </w:r>
    </w:p>
    <w:p>
      <w:pPr>
        <w:pStyle w:val="Normal"/>
        <w:rPr/>
      </w:pPr>
      <w:r>
        <w:rPr>
          <w:b/>
          <w:bCs/>
        </w:rPr>
        <w:t>Посебан циљ 1:</w:t>
      </w:r>
      <w:r>
        <w:rPr/>
        <w:t xml:space="preserve"> </w:t>
      </w:r>
      <w:bookmarkStart w:id="19" w:name="_Hlk57881025"/>
      <w:r>
        <w:rPr/>
        <w:t>Решавање имовинско-правних односа и побољшање услова становања ромских породица.</w:t>
      </w:r>
      <w:bookmarkEnd w:id="19"/>
    </w:p>
    <w:p>
      <w:pPr>
        <w:pStyle w:val="Normal"/>
        <w:rPr>
          <w:b/>
          <w:bCs/>
        </w:rPr>
      </w:pPr>
      <w:r>
        <w:rPr>
          <w:b/>
          <w:bCs/>
        </w:rPr>
        <w:t>СТАНОВАЊЕ</w:t>
      </w:r>
    </w:p>
    <w:p>
      <w:pPr>
        <w:pStyle w:val="Normal"/>
        <w:rPr>
          <w:b/>
          <w:bCs/>
        </w:rPr>
      </w:pPr>
      <w:r>
        <w:rPr>
          <w:b/>
          <w:bCs/>
        </w:rPr>
        <w:t>Посебан циљ: Унапређење инфраструктуре у ромским насељима, побољшање услова становања и подршка у решавању у поступцима озакоњења објеката.</w:t>
      </w:r>
    </w:p>
    <w:p>
      <w:pPr>
        <w:pStyle w:val="Normal"/>
        <w:rPr>
          <w:b/>
          <w:bCs/>
        </w:rPr>
      </w:pPr>
      <w:r>
        <w:rPr>
          <w:b/>
          <w:bCs/>
        </w:rPr>
        <w:t xml:space="preserve">Мере: </w:t>
      </w:r>
    </w:p>
    <w:p>
      <w:pPr>
        <w:pStyle w:val="Pasus1"/>
        <w:numPr>
          <w:ilvl w:val="1"/>
          <w:numId w:val="12"/>
        </w:numPr>
        <w:rPr>
          <w:rFonts w:ascii="Calibri" w:hAnsi="Calibri" w:cs="Calibri" w:asciiTheme="minorHAnsi" w:cstheme="minorHAnsi" w:hAnsiTheme="minorHAnsi"/>
          <w:szCs w:val="22"/>
          <w:lang w:val="sr-RS"/>
        </w:rPr>
      </w:pPr>
      <w:r>
        <w:rPr/>
        <w:t xml:space="preserve"> </w:t>
      </w:r>
      <w:r>
        <w:rPr>
          <w:rFonts w:cs="Calibri" w:ascii="Calibri" w:hAnsi="Calibri" w:asciiTheme="minorHAnsi" w:cstheme="minorHAnsi" w:hAnsiTheme="minorHAnsi"/>
          <w:szCs w:val="22"/>
          <w:lang w:val="sr-RS"/>
        </w:rPr>
        <w:t>Идентификовати потребе за унапређење становања и инфраструктуре у деловима насеља где живе Роми.</w:t>
      </w:r>
    </w:p>
    <w:p>
      <w:pPr>
        <w:pStyle w:val="Pasus1"/>
        <w:numPr>
          <w:ilvl w:val="1"/>
          <w:numId w:val="12"/>
        </w:numPr>
        <w:rPr>
          <w:rFonts w:ascii="Calibri" w:hAnsi="Calibri" w:cs="Calibri" w:asciiTheme="minorHAnsi" w:cstheme="minorHAnsi" w:hAnsiTheme="minorHAnsi"/>
          <w:szCs w:val="22"/>
          <w:lang w:val="sr-RS"/>
        </w:rPr>
      </w:pPr>
      <w:r>
        <w:rPr>
          <w:rFonts w:cs="Calibri" w:ascii="Calibri" w:hAnsi="Calibri" w:asciiTheme="minorHAnsi" w:cstheme="minorHAnsi" w:hAnsiTheme="minorHAnsi"/>
          <w:szCs w:val="22"/>
          <w:lang w:val="sr-RS"/>
        </w:rPr>
        <w:t>Израда пројектно-техничке документације за извођење недостајуће инфраструктуре у  насељима где живе Роми.</w:t>
      </w:r>
    </w:p>
    <w:p>
      <w:pPr>
        <w:pStyle w:val="Pasus1"/>
        <w:numPr>
          <w:ilvl w:val="1"/>
          <w:numId w:val="12"/>
        </w:numPr>
        <w:rPr>
          <w:rFonts w:ascii="Calibri" w:hAnsi="Calibri" w:cs="Calibri" w:asciiTheme="minorHAnsi" w:cstheme="minorHAnsi" w:hAnsiTheme="minorHAnsi"/>
          <w:szCs w:val="22"/>
          <w:lang w:val="sr-RS"/>
        </w:rPr>
      </w:pPr>
      <w:r>
        <w:rPr>
          <w:rFonts w:cs="Calibri" w:ascii="Calibri" w:hAnsi="Calibri" w:asciiTheme="minorHAnsi" w:cstheme="minorHAnsi" w:hAnsiTheme="minorHAnsi"/>
          <w:szCs w:val="22"/>
          <w:lang w:val="sr-RS"/>
        </w:rPr>
        <w:t>Обезбедити правну и техничку помоћ лицима ромске националности при решавању имовинско-правних односа у поступку озакоњења стамбених објеката.</w:t>
      </w:r>
    </w:p>
    <w:p>
      <w:pPr>
        <w:sectPr>
          <w:footerReference w:type="default" r:id="rId6"/>
          <w:footerReference w:type="first" r:id="rId7"/>
          <w:type w:val="nextPage"/>
          <w:pgSz w:w="12240" w:h="15840"/>
          <w:pgMar w:left="1440" w:right="1440" w:gutter="0" w:header="0" w:top="1440" w:footer="720" w:bottom="1440"/>
          <w:pgNumType w:fmt="decimal"/>
          <w:formProt w:val="false"/>
          <w:textDirection w:val="lrTb"/>
          <w:docGrid w:type="default" w:linePitch="360" w:charSpace="4096"/>
        </w:sectPr>
        <w:pStyle w:val="Pasus1"/>
        <w:numPr>
          <w:ilvl w:val="1"/>
          <w:numId w:val="12"/>
        </w:numPr>
        <w:rPr>
          <w:rFonts w:ascii="Calibri" w:hAnsi="Calibri" w:cs="Calibri" w:asciiTheme="minorHAnsi" w:cstheme="minorHAnsi" w:hAnsiTheme="minorHAnsi"/>
          <w:szCs w:val="22"/>
          <w:lang w:val="sr-RS"/>
        </w:rPr>
      </w:pPr>
      <w:r>
        <w:rPr>
          <w:rFonts w:cs="Calibri" w:ascii="Calibri" w:hAnsi="Calibri" w:asciiTheme="minorHAnsi" w:cstheme="minorHAnsi" w:hAnsiTheme="minorHAnsi"/>
          <w:szCs w:val="22"/>
          <w:lang w:val="sr-RS"/>
        </w:rPr>
        <w:t>Унапређење становања и инфраструктуре у деловима насеља где живе Роми.</w:t>
      </w:r>
      <w:r>
        <w:br w:type="page"/>
      </w:r>
    </w:p>
    <w:p>
      <w:pPr>
        <w:pStyle w:val="1"/>
        <w:spacing w:before="0" w:after="0"/>
        <w:ind w:left="431" w:hanging="431"/>
        <w:rPr/>
      </w:pPr>
      <w:bookmarkStart w:id="20" w:name="_Toc184550036"/>
      <w:r>
        <w:rPr/>
        <w:t>АКЦИОНИ ПЛАН</w:t>
      </w:r>
      <w:bookmarkEnd w:id="20"/>
      <w:r>
        <w:rPr/>
        <w:t xml:space="preserve"> </w:t>
      </w:r>
    </w:p>
    <w:p>
      <w:pPr>
        <w:pStyle w:val="Normal"/>
        <w:spacing w:before="0" w:after="0"/>
        <w:rPr/>
      </w:pPr>
      <w:r>
        <w:rPr/>
      </w:r>
    </w:p>
    <w:tbl>
      <w:tblPr>
        <w:tblStyle w:val="TableGrid"/>
        <w:tblW w:w="1014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11"/>
        <w:gridCol w:w="2195"/>
        <w:gridCol w:w="1023"/>
        <w:gridCol w:w="846"/>
        <w:gridCol w:w="1007"/>
        <w:gridCol w:w="837"/>
        <w:gridCol w:w="1007"/>
        <w:gridCol w:w="1622"/>
      </w:tblGrid>
      <w:tr>
        <w:trPr>
          <w:trHeight w:val="232" w:hRule="atLeast"/>
        </w:trPr>
        <w:tc>
          <w:tcPr>
            <w:tcW w:w="1611" w:type="dxa"/>
            <w:tcBorders/>
            <w:shd w:color="auto" w:fill="D99594" w:themeFill="accent2" w:themeFillTint="99" w:val="clear"/>
          </w:tcPr>
          <w:p>
            <w:pPr>
              <w:pStyle w:val="Normal"/>
              <w:widowControl w:val="false"/>
              <w:suppressAutoHyphens w:val="true"/>
              <w:spacing w:before="60" w:after="60"/>
              <w:rPr>
                <w:b/>
                <w:sz w:val="20"/>
                <w:szCs w:val="20"/>
              </w:rPr>
            </w:pPr>
            <w:r>
              <w:rPr>
                <w:b/>
                <w:kern w:val="0"/>
                <w:sz w:val="20"/>
                <w:szCs w:val="20"/>
                <w:lang w:eastAsia="en-US" w:bidi="ar-SA"/>
              </w:rPr>
              <w:t>ОПШТИ ЦИЉ:</w:t>
            </w:r>
          </w:p>
        </w:tc>
        <w:tc>
          <w:tcPr>
            <w:tcW w:w="8537" w:type="dxa"/>
            <w:gridSpan w:val="7"/>
            <w:tcBorders/>
            <w:shd w:color="auto" w:fill="D99594" w:themeFill="accent2" w:themeFillTint="99" w:val="clear"/>
          </w:tcPr>
          <w:p>
            <w:pPr>
              <w:pStyle w:val="Normal"/>
              <w:widowControl w:val="false"/>
              <w:suppressAutoHyphens w:val="true"/>
              <w:spacing w:before="60" w:after="60"/>
              <w:jc w:val="left"/>
              <w:rPr>
                <w:sz w:val="20"/>
                <w:szCs w:val="20"/>
              </w:rPr>
            </w:pPr>
            <w:r>
              <w:rPr>
                <w:kern w:val="0"/>
                <w:sz w:val="20"/>
                <w:szCs w:val="20"/>
                <w:lang w:eastAsia="en-US" w:bidi="ar-SA"/>
              </w:rPr>
              <w:t>Побољшати квалитет живота Рома и Ромкиња у општини Беочин</w:t>
            </w:r>
          </w:p>
        </w:tc>
      </w:tr>
      <w:tr>
        <w:trPr>
          <w:trHeight w:val="393" w:hRule="atLeast"/>
        </w:trPr>
        <w:tc>
          <w:tcPr>
            <w:tcW w:w="3806" w:type="dxa"/>
            <w:gridSpan w:val="2"/>
            <w:tcBorders/>
            <w:shd w:color="auto" w:fill="E5B8B7" w:themeFill="accent2" w:themeFillTint="66"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Показатељи на нивоу општег циља (показатељи ефеката)</w:t>
            </w:r>
          </w:p>
        </w:tc>
        <w:tc>
          <w:tcPr>
            <w:tcW w:w="1023" w:type="dxa"/>
            <w:tcBorders/>
            <w:shd w:color="auto" w:fill="E5B8B7" w:themeFill="accent2" w:themeFillTint="66"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Јединица мере</w:t>
            </w:r>
          </w:p>
        </w:tc>
        <w:tc>
          <w:tcPr>
            <w:tcW w:w="846" w:type="dxa"/>
            <w:tcBorders/>
            <w:shd w:color="auto" w:fill="E5B8B7" w:themeFill="accent2" w:themeFillTint="66"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Базна година</w:t>
            </w:r>
          </w:p>
        </w:tc>
        <w:tc>
          <w:tcPr>
            <w:tcW w:w="1007" w:type="dxa"/>
            <w:tcBorders/>
            <w:shd w:color="auto" w:fill="E5B8B7" w:themeFill="accent2" w:themeFillTint="66"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Базна вредност</w:t>
            </w:r>
          </w:p>
        </w:tc>
        <w:tc>
          <w:tcPr>
            <w:tcW w:w="837" w:type="dxa"/>
            <w:tcBorders/>
            <w:shd w:color="auto" w:fill="E5B8B7" w:themeFill="accent2" w:themeFillTint="66"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Циљна година</w:t>
            </w:r>
          </w:p>
        </w:tc>
        <w:tc>
          <w:tcPr>
            <w:tcW w:w="1007" w:type="dxa"/>
            <w:tcBorders/>
            <w:shd w:color="auto" w:fill="E5B8B7" w:themeFill="accent2" w:themeFillTint="66"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Циљна вредност</w:t>
            </w:r>
          </w:p>
        </w:tc>
        <w:tc>
          <w:tcPr>
            <w:tcW w:w="1622" w:type="dxa"/>
            <w:tcBorders/>
            <w:shd w:color="auto" w:fill="E5B8B7" w:themeFill="accent2" w:themeFillTint="66"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Извор провере</w:t>
            </w:r>
          </w:p>
        </w:tc>
      </w:tr>
      <w:tr>
        <w:trPr>
          <w:trHeight w:val="393" w:hRule="atLeast"/>
        </w:trPr>
        <w:tc>
          <w:tcPr>
            <w:tcW w:w="3806" w:type="dxa"/>
            <w:gridSpan w:val="2"/>
            <w:tcBorders/>
            <w:vAlign w:val="center"/>
          </w:tcPr>
          <w:p>
            <w:pPr>
              <w:pStyle w:val="Normal"/>
              <w:widowControl w:val="false"/>
              <w:suppressAutoHyphens w:val="true"/>
              <w:spacing w:before="60" w:after="60"/>
              <w:jc w:val="left"/>
              <w:rPr>
                <w:rFonts w:cs="" w:cstheme="minorBidi"/>
                <w:sz w:val="20"/>
                <w:szCs w:val="20"/>
              </w:rPr>
            </w:pPr>
            <w:r>
              <w:rPr>
                <w:kern w:val="0"/>
                <w:sz w:val="20"/>
                <w:szCs w:val="20"/>
                <w:lang w:eastAsia="en-US" w:bidi="ar-SA"/>
              </w:rPr>
              <w:t>Број ромских домаћинстава којима су унапређени услови становања</w:t>
            </w:r>
          </w:p>
        </w:tc>
        <w:tc>
          <w:tcPr>
            <w:tcW w:w="1023"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Број</w:t>
            </w:r>
          </w:p>
        </w:tc>
        <w:tc>
          <w:tcPr>
            <w:tcW w:w="846"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2024.</w:t>
            </w:r>
          </w:p>
        </w:tc>
        <w:tc>
          <w:tcPr>
            <w:tcW w:w="100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w:t>
            </w:r>
          </w:p>
        </w:tc>
        <w:tc>
          <w:tcPr>
            <w:tcW w:w="83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2027.</w:t>
            </w:r>
          </w:p>
        </w:tc>
        <w:tc>
          <w:tcPr>
            <w:tcW w:w="100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50</w:t>
            </w:r>
          </w:p>
        </w:tc>
        <w:tc>
          <w:tcPr>
            <w:tcW w:w="1622" w:type="dxa"/>
            <w:tcBorders/>
            <w:vAlign w:val="center"/>
          </w:tcPr>
          <w:p>
            <w:pPr>
              <w:pStyle w:val="Normal"/>
              <w:widowControl w:val="false"/>
              <w:suppressAutoHyphens w:val="true"/>
              <w:spacing w:before="60" w:after="60"/>
              <w:jc w:val="left"/>
              <w:rPr>
                <w:sz w:val="20"/>
                <w:szCs w:val="20"/>
              </w:rPr>
            </w:pPr>
            <w:r>
              <w:rPr>
                <w:kern w:val="0"/>
                <w:sz w:val="20"/>
                <w:szCs w:val="20"/>
                <w:lang w:eastAsia="en-US" w:bidi="ar-SA"/>
              </w:rPr>
              <w:t>Извештај о спровођењу ЛАП-а</w:t>
            </w:r>
          </w:p>
        </w:tc>
      </w:tr>
      <w:tr>
        <w:trPr>
          <w:trHeight w:val="393" w:hRule="atLeast"/>
        </w:trPr>
        <w:tc>
          <w:tcPr>
            <w:tcW w:w="3806"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Број израђене пројектно-техничке документације</w:t>
            </w:r>
          </w:p>
        </w:tc>
        <w:tc>
          <w:tcPr>
            <w:tcW w:w="1023"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Број</w:t>
            </w:r>
          </w:p>
        </w:tc>
        <w:tc>
          <w:tcPr>
            <w:tcW w:w="846"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2024</w:t>
            </w:r>
          </w:p>
        </w:tc>
        <w:tc>
          <w:tcPr>
            <w:tcW w:w="100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w:t>
            </w:r>
          </w:p>
        </w:tc>
        <w:tc>
          <w:tcPr>
            <w:tcW w:w="83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2027.</w:t>
            </w:r>
          </w:p>
        </w:tc>
        <w:tc>
          <w:tcPr>
            <w:tcW w:w="100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6</w:t>
            </w:r>
          </w:p>
        </w:tc>
        <w:tc>
          <w:tcPr>
            <w:tcW w:w="1622" w:type="dxa"/>
            <w:tcBorders/>
          </w:tcPr>
          <w:p>
            <w:pPr>
              <w:pStyle w:val="Normal"/>
              <w:widowControl w:val="false"/>
              <w:suppressAutoHyphens w:val="true"/>
              <w:spacing w:before="60" w:after="60"/>
              <w:jc w:val="left"/>
              <w:rPr>
                <w:sz w:val="20"/>
                <w:szCs w:val="20"/>
              </w:rPr>
            </w:pPr>
            <w:r>
              <w:rPr>
                <w:kern w:val="0"/>
                <w:sz w:val="20"/>
                <w:szCs w:val="20"/>
                <w:lang w:eastAsia="en-US" w:bidi="ar-SA"/>
              </w:rPr>
              <w:t>Извештај о спровођењу ЛАП-а</w:t>
            </w:r>
          </w:p>
        </w:tc>
      </w:tr>
      <w:tr>
        <w:trPr>
          <w:trHeight w:val="393" w:hRule="atLeast"/>
        </w:trPr>
        <w:tc>
          <w:tcPr>
            <w:tcW w:w="3806" w:type="dxa"/>
            <w:gridSpan w:val="2"/>
            <w:tcBorders/>
            <w:vAlign w:val="center"/>
          </w:tcPr>
          <w:p>
            <w:pPr>
              <w:pStyle w:val="Normal"/>
              <w:widowControl w:val="false"/>
              <w:suppressAutoHyphens w:val="true"/>
              <w:spacing w:before="60" w:after="60"/>
              <w:jc w:val="left"/>
              <w:rPr>
                <w:sz w:val="20"/>
                <w:szCs w:val="20"/>
              </w:rPr>
            </w:pPr>
            <w:r>
              <w:rPr>
                <w:kern w:val="0"/>
                <w:sz w:val="20"/>
                <w:szCs w:val="20"/>
                <w:lang w:eastAsia="en-US" w:bidi="ar-SA"/>
              </w:rPr>
              <w:t>Број Рома који су остварили право на озакоњење објеката</w:t>
            </w:r>
          </w:p>
        </w:tc>
        <w:tc>
          <w:tcPr>
            <w:tcW w:w="1023"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Број</w:t>
            </w:r>
          </w:p>
        </w:tc>
        <w:tc>
          <w:tcPr>
            <w:tcW w:w="846"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2024</w:t>
            </w:r>
          </w:p>
        </w:tc>
        <w:tc>
          <w:tcPr>
            <w:tcW w:w="100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w:t>
            </w:r>
          </w:p>
        </w:tc>
        <w:tc>
          <w:tcPr>
            <w:tcW w:w="83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2027.</w:t>
            </w:r>
          </w:p>
        </w:tc>
        <w:tc>
          <w:tcPr>
            <w:tcW w:w="100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50</w:t>
            </w:r>
          </w:p>
        </w:tc>
        <w:tc>
          <w:tcPr>
            <w:tcW w:w="1622" w:type="dxa"/>
            <w:tcBorders/>
            <w:vAlign w:val="center"/>
          </w:tcPr>
          <w:p>
            <w:pPr>
              <w:pStyle w:val="Normal"/>
              <w:widowControl w:val="false"/>
              <w:suppressAutoHyphens w:val="true"/>
              <w:spacing w:before="60" w:after="60"/>
              <w:jc w:val="left"/>
              <w:rPr>
                <w:sz w:val="20"/>
                <w:szCs w:val="20"/>
              </w:rPr>
            </w:pPr>
            <w:r>
              <w:rPr>
                <w:kern w:val="0"/>
                <w:sz w:val="20"/>
                <w:szCs w:val="20"/>
                <w:lang w:eastAsia="en-US" w:bidi="ar-SA"/>
              </w:rPr>
              <w:t>Извештај о спровођењу ЛАП-а</w:t>
            </w:r>
          </w:p>
        </w:tc>
      </w:tr>
    </w:tbl>
    <w:p>
      <w:pPr>
        <w:pStyle w:val="Normal"/>
        <w:spacing w:before="200" w:after="0"/>
        <w:rPr/>
      </w:pPr>
      <w:r>
        <w:rPr/>
      </w:r>
    </w:p>
    <w:p>
      <w:pPr>
        <w:pStyle w:val="Normal"/>
        <w:spacing w:before="200" w:after="0"/>
        <w:rPr/>
      </w:pPr>
      <w:r>
        <w:rPr/>
      </w:r>
    </w:p>
    <w:tbl>
      <w:tblPr>
        <w:tblStyle w:val="TableGrid"/>
        <w:tblW w:w="1010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668"/>
        <w:gridCol w:w="2538"/>
        <w:gridCol w:w="842"/>
        <w:gridCol w:w="842"/>
        <w:gridCol w:w="840"/>
        <w:gridCol w:w="842"/>
        <w:gridCol w:w="844"/>
        <w:gridCol w:w="1683"/>
      </w:tblGrid>
      <w:tr>
        <w:trPr>
          <w:trHeight w:val="665" w:hRule="atLeast"/>
        </w:trPr>
        <w:tc>
          <w:tcPr>
            <w:tcW w:w="1668" w:type="dxa"/>
            <w:tcBorders/>
            <w:shd w:color="auto" w:fill="76923C" w:themeFill="accent3" w:themeFillShade="bf" w:val="clear"/>
          </w:tcPr>
          <w:p>
            <w:pPr>
              <w:pStyle w:val="Normal"/>
              <w:widowControl w:val="false"/>
              <w:suppressAutoHyphens w:val="true"/>
              <w:spacing w:before="60" w:after="60"/>
              <w:rPr>
                <w:b/>
                <w:sz w:val="20"/>
                <w:szCs w:val="20"/>
              </w:rPr>
            </w:pPr>
            <w:r>
              <w:rPr>
                <w:b/>
                <w:kern w:val="0"/>
                <w:sz w:val="20"/>
                <w:szCs w:val="20"/>
                <w:lang w:eastAsia="en-US" w:bidi="ar-SA"/>
              </w:rPr>
              <w:t>ПОСЕБАН ЦИЉ 1:</w:t>
            </w:r>
          </w:p>
        </w:tc>
        <w:tc>
          <w:tcPr>
            <w:tcW w:w="8431" w:type="dxa"/>
            <w:gridSpan w:val="7"/>
            <w:tcBorders/>
            <w:shd w:color="auto" w:fill="76923C" w:themeFill="accent3" w:themeFillShade="bf" w:val="clear"/>
          </w:tcPr>
          <w:p>
            <w:pPr>
              <w:pStyle w:val="Normal"/>
              <w:widowControl w:val="false"/>
              <w:suppressAutoHyphens w:val="true"/>
              <w:spacing w:before="60" w:after="60"/>
              <w:jc w:val="left"/>
              <w:rPr>
                <w:sz w:val="20"/>
                <w:szCs w:val="20"/>
              </w:rPr>
            </w:pPr>
            <w:r>
              <w:rPr>
                <w:b/>
                <w:bCs/>
                <w:kern w:val="0"/>
                <w:sz w:val="22"/>
                <w:szCs w:val="22"/>
                <w:lang w:eastAsia="en-US" w:bidi="ar-SA"/>
              </w:rPr>
              <w:t>Унапређење инфраструктуре у ромским насељима, побољшање услова становања и подршка у решавању у поступцима озакоњења објеката.</w:t>
            </w:r>
          </w:p>
        </w:tc>
      </w:tr>
      <w:tr>
        <w:trPr>
          <w:trHeight w:val="614" w:hRule="atLeast"/>
        </w:trPr>
        <w:tc>
          <w:tcPr>
            <w:tcW w:w="4206" w:type="dxa"/>
            <w:gridSpan w:val="2"/>
            <w:tcBorders/>
            <w:shd w:color="auto" w:fill="C2D69B" w:themeFill="accent3"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Показатељи на нивоу посебног циља (показатељи исхода)</w:t>
            </w:r>
          </w:p>
        </w:tc>
        <w:tc>
          <w:tcPr>
            <w:tcW w:w="842" w:type="dxa"/>
            <w:tcBorders/>
            <w:shd w:color="auto" w:fill="C2D69B" w:themeFill="accent3"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Јединица мере</w:t>
            </w:r>
          </w:p>
        </w:tc>
        <w:tc>
          <w:tcPr>
            <w:tcW w:w="842" w:type="dxa"/>
            <w:tcBorders/>
            <w:shd w:color="auto" w:fill="C2D69B" w:themeFill="accent3"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Базна година</w:t>
            </w:r>
          </w:p>
        </w:tc>
        <w:tc>
          <w:tcPr>
            <w:tcW w:w="840" w:type="dxa"/>
            <w:tcBorders/>
            <w:shd w:color="auto" w:fill="C2D69B" w:themeFill="accent3"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Базна вредност</w:t>
            </w:r>
          </w:p>
        </w:tc>
        <w:tc>
          <w:tcPr>
            <w:tcW w:w="842" w:type="dxa"/>
            <w:tcBorders/>
            <w:shd w:color="auto" w:fill="C2D69B" w:themeFill="accent3"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Циљна година</w:t>
            </w:r>
          </w:p>
        </w:tc>
        <w:tc>
          <w:tcPr>
            <w:tcW w:w="844" w:type="dxa"/>
            <w:tcBorders/>
            <w:shd w:color="auto" w:fill="C2D69B" w:themeFill="accent3"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Циљна вредност</w:t>
            </w:r>
          </w:p>
        </w:tc>
        <w:tc>
          <w:tcPr>
            <w:tcW w:w="1683" w:type="dxa"/>
            <w:tcBorders/>
            <w:shd w:color="auto" w:fill="C2D69B" w:themeFill="accent3"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Извор провере</w:t>
            </w:r>
          </w:p>
        </w:tc>
      </w:tr>
      <w:tr>
        <w:trPr>
          <w:trHeight w:val="604" w:hRule="atLeast"/>
        </w:trPr>
        <w:tc>
          <w:tcPr>
            <w:tcW w:w="4206" w:type="dxa"/>
            <w:gridSpan w:val="2"/>
            <w:tcBorders/>
            <w:shd w:color="auto" w:fill="auto" w:val="clear"/>
          </w:tcPr>
          <w:p>
            <w:pPr>
              <w:pStyle w:val="Normal"/>
              <w:widowControl w:val="false"/>
              <w:suppressAutoHyphens w:val="true"/>
              <w:spacing w:before="60" w:after="60"/>
              <w:jc w:val="left"/>
              <w:rPr>
                <w:sz w:val="20"/>
                <w:szCs w:val="20"/>
              </w:rPr>
            </w:pPr>
            <w:r>
              <w:rPr>
                <w:kern w:val="0"/>
                <w:sz w:val="20"/>
                <w:szCs w:val="20"/>
                <w:lang w:eastAsia="en-US" w:bidi="ar-SA"/>
              </w:rPr>
              <w:t>Број лица ромске националности којима је пружена подршка у области унапређења становања</w:t>
            </w:r>
          </w:p>
        </w:tc>
        <w:tc>
          <w:tcPr>
            <w:tcW w:w="842"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Број</w:t>
            </w:r>
          </w:p>
        </w:tc>
        <w:tc>
          <w:tcPr>
            <w:tcW w:w="842"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2024</w:t>
            </w:r>
          </w:p>
        </w:tc>
        <w:tc>
          <w:tcPr>
            <w:tcW w:w="840"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w:t>
            </w:r>
          </w:p>
        </w:tc>
        <w:tc>
          <w:tcPr>
            <w:tcW w:w="842"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2027</w:t>
            </w:r>
          </w:p>
        </w:tc>
        <w:tc>
          <w:tcPr>
            <w:tcW w:w="844"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100</w:t>
            </w:r>
          </w:p>
        </w:tc>
        <w:tc>
          <w:tcPr>
            <w:tcW w:w="1683" w:type="dxa"/>
            <w:tcBorders/>
            <w:shd w:color="auto" w:fill="auto" w:val="clear"/>
          </w:tcPr>
          <w:p>
            <w:pPr>
              <w:pStyle w:val="Normal"/>
              <w:widowControl w:val="false"/>
              <w:suppressAutoHyphens w:val="true"/>
              <w:spacing w:before="60" w:after="60"/>
              <w:jc w:val="left"/>
              <w:rPr>
                <w:sz w:val="20"/>
                <w:szCs w:val="20"/>
              </w:rPr>
            </w:pPr>
            <w:r>
              <w:rPr>
                <w:kern w:val="0"/>
                <w:sz w:val="20"/>
                <w:szCs w:val="20"/>
                <w:lang w:eastAsia="en-US" w:bidi="ar-SA"/>
              </w:rPr>
              <w:t>Извештај о спровођењу ЛАП-а</w:t>
            </w:r>
          </w:p>
        </w:tc>
      </w:tr>
      <w:tr>
        <w:trPr>
          <w:trHeight w:val="614" w:hRule="atLeast"/>
        </w:trPr>
        <w:tc>
          <w:tcPr>
            <w:tcW w:w="4206" w:type="dxa"/>
            <w:gridSpan w:val="2"/>
            <w:tcBorders/>
            <w:shd w:color="auto" w:fill="auto" w:val="clear"/>
          </w:tcPr>
          <w:p>
            <w:pPr>
              <w:pStyle w:val="Normal"/>
              <w:widowControl w:val="false"/>
              <w:suppressAutoHyphens w:val="true"/>
              <w:spacing w:before="60" w:after="60"/>
              <w:jc w:val="left"/>
              <w:rPr>
                <w:sz w:val="20"/>
                <w:szCs w:val="20"/>
              </w:rPr>
            </w:pPr>
            <w:r>
              <w:rPr>
                <w:kern w:val="0"/>
                <w:sz w:val="20"/>
                <w:szCs w:val="20"/>
                <w:lang w:eastAsia="en-US" w:bidi="ar-SA"/>
              </w:rPr>
              <w:t>Број лица ромске националности којима су пружене информације из области унапређења становања</w:t>
            </w:r>
          </w:p>
        </w:tc>
        <w:tc>
          <w:tcPr>
            <w:tcW w:w="842"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Број</w:t>
            </w:r>
          </w:p>
        </w:tc>
        <w:tc>
          <w:tcPr>
            <w:tcW w:w="842"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2024</w:t>
            </w:r>
          </w:p>
        </w:tc>
        <w:tc>
          <w:tcPr>
            <w:tcW w:w="840"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w:t>
            </w:r>
          </w:p>
        </w:tc>
        <w:tc>
          <w:tcPr>
            <w:tcW w:w="842"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2027</w:t>
            </w:r>
          </w:p>
        </w:tc>
        <w:tc>
          <w:tcPr>
            <w:tcW w:w="844" w:type="dxa"/>
            <w:tcBorders/>
            <w:shd w:color="auto" w:fill="auto"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200</w:t>
            </w:r>
          </w:p>
        </w:tc>
        <w:tc>
          <w:tcPr>
            <w:tcW w:w="1683" w:type="dxa"/>
            <w:tcBorders/>
            <w:shd w:color="auto" w:fill="auto" w:val="clear"/>
          </w:tcPr>
          <w:p>
            <w:pPr>
              <w:pStyle w:val="Normal"/>
              <w:widowControl w:val="false"/>
              <w:suppressAutoHyphens w:val="true"/>
              <w:spacing w:before="60" w:after="60"/>
              <w:jc w:val="left"/>
              <w:rPr>
                <w:sz w:val="20"/>
                <w:szCs w:val="20"/>
              </w:rPr>
            </w:pPr>
            <w:r>
              <w:rPr>
                <w:kern w:val="0"/>
                <w:sz w:val="20"/>
                <w:szCs w:val="20"/>
                <w:lang w:eastAsia="en-US" w:bidi="ar-SA"/>
              </w:rPr>
              <w:t>Извештај о спровођењу ЛАП-а</w:t>
            </w:r>
          </w:p>
        </w:tc>
      </w:tr>
    </w:tbl>
    <w:p>
      <w:pPr>
        <w:pStyle w:val="Normal"/>
        <w:spacing w:before="200" w:after="0"/>
        <w:rPr/>
      </w:pPr>
      <w:r>
        <w:rPr/>
      </w:r>
    </w:p>
    <w:p>
      <w:pPr>
        <w:pStyle w:val="Normal"/>
        <w:spacing w:before="240" w:after="0"/>
        <w:rPr/>
      </w:pPr>
      <w:r>
        <w:rPr/>
      </w:r>
    </w:p>
    <w:tbl>
      <w:tblPr>
        <w:tblStyle w:val="TableGrid"/>
        <w:tblW w:w="10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497"/>
        <w:gridCol w:w="1344"/>
        <w:gridCol w:w="1040"/>
        <w:gridCol w:w="871"/>
        <w:gridCol w:w="1097"/>
        <w:gridCol w:w="145"/>
        <w:gridCol w:w="396"/>
        <w:gridCol w:w="348"/>
        <w:gridCol w:w="1162"/>
        <w:gridCol w:w="2159"/>
      </w:tblGrid>
      <w:tr>
        <w:trPr/>
        <w:tc>
          <w:tcPr>
            <w:tcW w:w="1497" w:type="dxa"/>
            <w:tcBorders/>
            <w:shd w:color="auto" w:fill="E36C0A" w:themeFill="accent6" w:themeFillShade="bf" w:val="clear"/>
          </w:tcPr>
          <w:p>
            <w:pPr>
              <w:pStyle w:val="Normal"/>
              <w:widowControl w:val="false"/>
              <w:suppressAutoHyphens w:val="true"/>
              <w:spacing w:before="60" w:after="60"/>
              <w:rPr>
                <w:b/>
                <w:sz w:val="20"/>
                <w:szCs w:val="20"/>
              </w:rPr>
            </w:pPr>
            <w:r>
              <w:rPr>
                <w:b/>
                <w:kern w:val="0"/>
                <w:sz w:val="20"/>
                <w:szCs w:val="20"/>
                <w:lang w:eastAsia="en-US" w:bidi="ar-SA"/>
              </w:rPr>
              <w:t>МЕРА 1.1:</w:t>
            </w:r>
          </w:p>
        </w:tc>
        <w:tc>
          <w:tcPr>
            <w:tcW w:w="3255" w:type="dxa"/>
            <w:gridSpan w:val="3"/>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Идентификовати потребе за унапређење становања и инфраструктуре у деловима насеља где живе Роми.</w:t>
            </w:r>
          </w:p>
        </w:tc>
        <w:tc>
          <w:tcPr>
            <w:tcW w:w="1242" w:type="dxa"/>
            <w:gridSpan w:val="2"/>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Тип мере:</w:t>
            </w:r>
          </w:p>
        </w:tc>
        <w:tc>
          <w:tcPr>
            <w:tcW w:w="4065" w:type="dxa"/>
            <w:gridSpan w:val="4"/>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инфраструктурна</w:t>
            </w:r>
          </w:p>
        </w:tc>
      </w:tr>
      <w:tr>
        <w:trPr/>
        <w:tc>
          <w:tcPr>
            <w:tcW w:w="1497"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Носилац мере:</w:t>
            </w:r>
          </w:p>
        </w:tc>
        <w:tc>
          <w:tcPr>
            <w:tcW w:w="3255" w:type="dxa"/>
            <w:gridSpan w:val="3"/>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ЈЛС</w:t>
            </w:r>
          </w:p>
        </w:tc>
        <w:tc>
          <w:tcPr>
            <w:tcW w:w="1242" w:type="dxa"/>
            <w:gridSpan w:val="2"/>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Партнери:</w:t>
            </w:r>
          </w:p>
        </w:tc>
        <w:tc>
          <w:tcPr>
            <w:tcW w:w="4065" w:type="dxa"/>
            <w:gridSpan w:val="4"/>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ОЦД</w:t>
            </w:r>
          </w:p>
        </w:tc>
      </w:tr>
      <w:tr>
        <w:trPr/>
        <w:tc>
          <w:tcPr>
            <w:tcW w:w="1497"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Период спровођења:</w:t>
            </w:r>
          </w:p>
        </w:tc>
        <w:tc>
          <w:tcPr>
            <w:tcW w:w="1344"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val="en-US" w:eastAsia="en-US" w:bidi="ar-SA"/>
              </w:rPr>
              <w:t>202</w:t>
            </w:r>
            <w:r>
              <w:rPr>
                <w:kern w:val="0"/>
                <w:sz w:val="20"/>
                <w:szCs w:val="20"/>
                <w:lang w:eastAsia="en-US" w:bidi="ar-SA"/>
              </w:rPr>
              <w:t>5</w:t>
            </w:r>
            <w:r>
              <w:rPr>
                <w:kern w:val="0"/>
                <w:sz w:val="20"/>
                <w:szCs w:val="20"/>
                <w:lang w:val="en-US" w:eastAsia="en-US" w:bidi="ar-SA"/>
              </w:rPr>
              <w:t>-202</w:t>
            </w:r>
            <w:r>
              <w:rPr>
                <w:kern w:val="0"/>
                <w:sz w:val="20"/>
                <w:szCs w:val="20"/>
                <w:lang w:eastAsia="en-US" w:bidi="ar-SA"/>
              </w:rPr>
              <w:t>6</w:t>
            </w:r>
          </w:p>
        </w:tc>
        <w:tc>
          <w:tcPr>
            <w:tcW w:w="3153" w:type="dxa"/>
            <w:gridSpan w:val="4"/>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Потребне измене прописа:</w:t>
            </w:r>
          </w:p>
        </w:tc>
        <w:tc>
          <w:tcPr>
            <w:tcW w:w="4065" w:type="dxa"/>
            <w:gridSpan w:val="4"/>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не</w:t>
            </w:r>
          </w:p>
        </w:tc>
      </w:tr>
      <w:tr>
        <w:trPr/>
        <w:tc>
          <w:tcPr>
            <w:tcW w:w="1497" w:type="dxa"/>
            <w:tcBorders/>
            <w:shd w:color="auto" w:fill="FBD4B4" w:themeFill="accent6" w:themeFillTint="66" w:val="clear"/>
          </w:tcPr>
          <w:p>
            <w:pPr>
              <w:pStyle w:val="Normal"/>
              <w:widowControl w:val="false"/>
              <w:suppressAutoHyphens w:val="true"/>
              <w:spacing w:before="60" w:after="60"/>
              <w:jc w:val="left"/>
              <w:rPr>
                <w:sz w:val="20"/>
                <w:szCs w:val="20"/>
              </w:rPr>
            </w:pPr>
            <w:r>
              <w:rPr>
                <w:kern w:val="0"/>
                <w:sz w:val="20"/>
                <w:szCs w:val="20"/>
                <w:lang w:eastAsia="en-US" w:bidi="ar-SA"/>
              </w:rPr>
              <w:t>Укупно процењена финансијска средства за меру (РСД):</w:t>
            </w:r>
          </w:p>
        </w:tc>
        <w:tc>
          <w:tcPr>
            <w:tcW w:w="1344" w:type="dxa"/>
            <w:tcBorders/>
            <w:shd w:color="auto" w:fill="FBD4B4" w:themeFill="accent6" w:themeFillTint="66" w:val="clear"/>
          </w:tcPr>
          <w:p>
            <w:pPr>
              <w:pStyle w:val="Normal"/>
              <w:widowControl w:val="false"/>
              <w:suppressAutoHyphens w:val="true"/>
              <w:spacing w:before="60" w:after="60"/>
              <w:jc w:val="right"/>
              <w:rPr>
                <w:rStyle w:val="Style6"/>
                <w:sz w:val="20"/>
                <w:szCs w:val="20"/>
              </w:rPr>
            </w:pPr>
            <w:r>
              <w:rPr>
                <w:kern w:val="0"/>
                <w:sz w:val="20"/>
                <w:szCs w:val="20"/>
                <w:lang w:eastAsia="en-US" w:bidi="ar-SA"/>
              </w:rPr>
              <w:t>450.000,00</w:t>
            </w:r>
          </w:p>
        </w:tc>
        <w:tc>
          <w:tcPr>
            <w:tcW w:w="1911" w:type="dxa"/>
            <w:gridSpan w:val="2"/>
            <w:tcBorders/>
            <w:shd w:color="auto" w:fill="FBD4B4" w:themeFill="accent6" w:themeFillTint="66" w:val="clear"/>
          </w:tcPr>
          <w:p>
            <w:pPr>
              <w:pStyle w:val="Normal"/>
              <w:widowControl w:val="false"/>
              <w:suppressAutoHyphens w:val="true"/>
              <w:spacing w:before="60" w:after="60"/>
              <w:jc w:val="left"/>
              <w:rPr>
                <w:rStyle w:val="Style6"/>
                <w:sz w:val="20"/>
                <w:szCs w:val="20"/>
              </w:rPr>
            </w:pPr>
            <w:r>
              <w:rPr>
                <w:kern w:val="0"/>
                <w:sz w:val="20"/>
                <w:szCs w:val="20"/>
                <w:lang w:eastAsia="en-US" w:bidi="ar-SA"/>
              </w:rPr>
              <w:t>Вредности фин. средстава по годинама (РСД):</w:t>
            </w:r>
          </w:p>
        </w:tc>
        <w:tc>
          <w:tcPr>
            <w:tcW w:w="1638" w:type="dxa"/>
            <w:gridSpan w:val="3"/>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2025:  75.000,00</w:t>
            </w:r>
          </w:p>
          <w:p>
            <w:pPr>
              <w:pStyle w:val="Normal"/>
              <w:widowControl w:val="false"/>
              <w:suppressAutoHyphens w:val="true"/>
              <w:spacing w:before="60" w:after="60"/>
              <w:jc w:val="right"/>
              <w:rPr>
                <w:rStyle w:val="Style6"/>
                <w:position w:val="0"/>
                <w:sz w:val="20"/>
                <w:sz w:val="20"/>
                <w:szCs w:val="20"/>
                <w:highlight w:val="cyan"/>
                <w:vertAlign w:val="baseline"/>
              </w:rPr>
            </w:pPr>
            <w:r>
              <w:rPr>
                <w:rStyle w:val="Style6"/>
                <w:kern w:val="0"/>
                <w:position w:val="0"/>
                <w:sz w:val="20"/>
                <w:sz w:val="20"/>
                <w:szCs w:val="20"/>
                <w:vertAlign w:val="baseline"/>
                <w:lang w:eastAsia="en-US" w:bidi="ar-SA"/>
              </w:rPr>
              <w:t>2026:</w:t>
            </w:r>
            <w:r>
              <w:rPr>
                <w:kern w:val="0"/>
                <w:sz w:val="20"/>
                <w:szCs w:val="20"/>
                <w:lang w:eastAsia="en-US" w:bidi="ar-SA"/>
              </w:rPr>
              <w:t xml:space="preserve"> 375.000,00</w:t>
            </w:r>
          </w:p>
        </w:tc>
        <w:tc>
          <w:tcPr>
            <w:tcW w:w="1510" w:type="dxa"/>
            <w:gridSpan w:val="2"/>
            <w:tcBorders/>
            <w:shd w:color="auto" w:fill="FBD4B4" w:themeFill="accent6" w:themeFillTint="66" w:val="clear"/>
          </w:tcPr>
          <w:p>
            <w:pPr>
              <w:pStyle w:val="Normal"/>
              <w:widowControl w:val="false"/>
              <w:suppressAutoHyphens w:val="true"/>
              <w:spacing w:before="60" w:after="60"/>
              <w:jc w:val="left"/>
              <w:rPr>
                <w:rStyle w:val="Style6"/>
                <w:sz w:val="20"/>
                <w:szCs w:val="20"/>
              </w:rPr>
            </w:pPr>
            <w:r>
              <w:rPr>
                <w:kern w:val="0"/>
                <w:sz w:val="20"/>
                <w:szCs w:val="20"/>
                <w:lang w:eastAsia="en-US" w:bidi="ar-SA"/>
              </w:rPr>
              <w:t>Вредности  фин. средстава по изворима финансир.:</w:t>
            </w:r>
          </w:p>
        </w:tc>
        <w:tc>
          <w:tcPr>
            <w:tcW w:w="2159" w:type="dxa"/>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ЈЛС:</w:t>
            </w:r>
            <w:r>
              <w:rPr>
                <w:kern w:val="0"/>
                <w:sz w:val="20"/>
                <w:szCs w:val="20"/>
                <w:lang w:val="sr-Latn-RS" w:eastAsia="en-US" w:bidi="ar-SA"/>
              </w:rPr>
              <w:t xml:space="preserve"> 150.000,00</w:t>
            </w:r>
          </w:p>
          <w:p>
            <w:pPr>
              <w:pStyle w:val="Normal"/>
              <w:widowControl w:val="false"/>
              <w:suppressAutoHyphens w:val="true"/>
              <w:spacing w:before="60" w:after="60"/>
              <w:jc w:val="right"/>
              <w:rPr>
                <w:sz w:val="20"/>
                <w:szCs w:val="20"/>
                <w:lang w:val="sr-Latn-RS"/>
              </w:rPr>
            </w:pPr>
            <w:r>
              <w:rPr>
                <w:kern w:val="0"/>
                <w:sz w:val="20"/>
                <w:szCs w:val="20"/>
                <w:lang w:eastAsia="en-US" w:bidi="ar-SA"/>
              </w:rPr>
              <w:t>Донаторска средства</w:t>
            </w:r>
            <w:r>
              <w:rPr>
                <w:kern w:val="0"/>
                <w:sz w:val="20"/>
                <w:szCs w:val="20"/>
                <w:lang w:val="sr-Latn-RS" w:eastAsia="en-US" w:bidi="ar-SA"/>
              </w:rPr>
              <w:t>: 300.000,00</w:t>
            </w:r>
          </w:p>
          <w:p>
            <w:pPr>
              <w:pStyle w:val="Normal"/>
              <w:widowControl w:val="false"/>
              <w:suppressAutoHyphens w:val="true"/>
              <w:spacing w:before="60" w:after="60"/>
              <w:jc w:val="right"/>
              <w:rPr>
                <w:rStyle w:val="Style6"/>
                <w:sz w:val="20"/>
                <w:szCs w:val="20"/>
              </w:rPr>
            </w:pPr>
            <w:r>
              <w:rPr>
                <w:sz w:val="20"/>
                <w:szCs w:val="20"/>
              </w:rPr>
            </w:r>
          </w:p>
        </w:tc>
      </w:tr>
      <w:tr>
        <w:trPr/>
        <w:tc>
          <w:tcPr>
            <w:tcW w:w="2841" w:type="dxa"/>
            <w:gridSpan w:val="2"/>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Показатељи на нивоу мере (показатељи резултата)</w:t>
            </w:r>
          </w:p>
        </w:tc>
        <w:tc>
          <w:tcPr>
            <w:tcW w:w="1040"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Јединица мере</w:t>
            </w:r>
          </w:p>
        </w:tc>
        <w:tc>
          <w:tcPr>
            <w:tcW w:w="871"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година</w:t>
            </w:r>
          </w:p>
        </w:tc>
        <w:tc>
          <w:tcPr>
            <w:tcW w:w="1097"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вредност</w:t>
            </w:r>
          </w:p>
        </w:tc>
        <w:tc>
          <w:tcPr>
            <w:tcW w:w="2051" w:type="dxa"/>
            <w:gridSpan w:val="4"/>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Циљне вредности</w:t>
            </w:r>
          </w:p>
        </w:tc>
        <w:tc>
          <w:tcPr>
            <w:tcW w:w="2159"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Извор провере</w:t>
            </w:r>
          </w:p>
        </w:tc>
      </w:tr>
      <w:tr>
        <w:trPr/>
        <w:tc>
          <w:tcPr>
            <w:tcW w:w="2841" w:type="dxa"/>
            <w:gridSpan w:val="2"/>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40"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871"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97"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889" w:type="dxa"/>
            <w:gridSpan w:val="3"/>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2021.</w:t>
            </w:r>
          </w:p>
        </w:tc>
        <w:tc>
          <w:tcPr>
            <w:tcW w:w="1162" w:type="dxa"/>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2022.</w:t>
            </w:r>
          </w:p>
        </w:tc>
        <w:tc>
          <w:tcPr>
            <w:tcW w:w="2159"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r>
      <w:tr>
        <w:trPr/>
        <w:tc>
          <w:tcPr>
            <w:tcW w:w="2841" w:type="dxa"/>
            <w:gridSpan w:val="2"/>
            <w:tcBorders/>
          </w:tcPr>
          <w:p>
            <w:pPr>
              <w:pStyle w:val="Normal"/>
              <w:widowControl w:val="false"/>
              <w:suppressAutoHyphens w:val="true"/>
              <w:spacing w:before="60" w:after="60"/>
              <w:jc w:val="left"/>
              <w:rPr>
                <w:rStyle w:val="Style6"/>
                <w:position w:val="0"/>
                <w:sz w:val="20"/>
                <w:sz w:val="20"/>
                <w:szCs w:val="20"/>
                <w:vertAlign w:val="baseline"/>
              </w:rPr>
            </w:pPr>
            <w:r>
              <w:rPr>
                <w:rStyle w:val="Style6"/>
                <w:kern w:val="0"/>
                <w:position w:val="0"/>
                <w:sz w:val="20"/>
                <w:sz w:val="20"/>
                <w:szCs w:val="20"/>
                <w:vertAlign w:val="baseline"/>
                <w:lang w:eastAsia="en-US" w:bidi="ar-SA"/>
              </w:rPr>
              <w:t>Припремљен</w:t>
            </w:r>
            <w:r>
              <w:rPr>
                <w:kern w:val="0"/>
                <w:sz w:val="20"/>
                <w:szCs w:val="20"/>
                <w:lang w:eastAsia="en-US" w:bidi="ar-SA"/>
              </w:rPr>
              <w:t xml:space="preserve"> извештај о потребама ромске популације из области становања</w:t>
            </w:r>
          </w:p>
        </w:tc>
        <w:tc>
          <w:tcPr>
            <w:tcW w:w="1040"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Број</w:t>
            </w:r>
          </w:p>
        </w:tc>
        <w:tc>
          <w:tcPr>
            <w:tcW w:w="87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2020</w:t>
            </w:r>
          </w:p>
        </w:tc>
        <w:tc>
          <w:tcPr>
            <w:tcW w:w="1097"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0</w:t>
            </w:r>
          </w:p>
        </w:tc>
        <w:tc>
          <w:tcPr>
            <w:tcW w:w="889" w:type="dxa"/>
            <w:gridSpan w:val="3"/>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w:t>
            </w:r>
          </w:p>
        </w:tc>
        <w:tc>
          <w:tcPr>
            <w:tcW w:w="1162"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0</w:t>
            </w:r>
          </w:p>
        </w:tc>
        <w:tc>
          <w:tcPr>
            <w:tcW w:w="2159"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о спровођењу ЛАП-а</w:t>
            </w:r>
          </w:p>
        </w:tc>
      </w:tr>
      <w:tr>
        <w:trPr/>
        <w:tc>
          <w:tcPr>
            <w:tcW w:w="2841" w:type="dxa"/>
            <w:gridSpan w:val="2"/>
            <w:tcBorders/>
          </w:tcPr>
          <w:p>
            <w:pPr>
              <w:pStyle w:val="Normal"/>
              <w:widowControl w:val="false"/>
              <w:suppressAutoHyphens w:val="true"/>
              <w:spacing w:before="60" w:after="60"/>
              <w:jc w:val="left"/>
              <w:rPr>
                <w:rStyle w:val="Style6"/>
                <w:position w:val="0"/>
                <w:sz w:val="20"/>
                <w:sz w:val="20"/>
                <w:szCs w:val="20"/>
                <w:vertAlign w:val="baseline"/>
                <w:lang w:val="en-US"/>
              </w:rPr>
            </w:pPr>
            <w:r>
              <w:rPr>
                <w:kern w:val="0"/>
                <w:sz w:val="20"/>
                <w:szCs w:val="20"/>
                <w:lang w:eastAsia="en-US" w:bidi="ar-SA"/>
              </w:rPr>
              <w:t>Број санираних лоших стамбених јединица</w:t>
            </w:r>
          </w:p>
        </w:tc>
        <w:tc>
          <w:tcPr>
            <w:tcW w:w="1040"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Број</w:t>
            </w:r>
          </w:p>
        </w:tc>
        <w:tc>
          <w:tcPr>
            <w:tcW w:w="87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2020</w:t>
            </w:r>
          </w:p>
        </w:tc>
        <w:tc>
          <w:tcPr>
            <w:tcW w:w="1097"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0</w:t>
            </w:r>
          </w:p>
        </w:tc>
        <w:tc>
          <w:tcPr>
            <w:tcW w:w="889" w:type="dxa"/>
            <w:gridSpan w:val="3"/>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0</w:t>
            </w:r>
          </w:p>
        </w:tc>
        <w:tc>
          <w:tcPr>
            <w:tcW w:w="1162"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10</w:t>
            </w:r>
          </w:p>
        </w:tc>
        <w:tc>
          <w:tcPr>
            <w:tcW w:w="2159"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Одељења за привреду, урбанизам, путну привреду, стамбене и комуналне послове и заштиту животне средине</w:t>
            </w:r>
          </w:p>
        </w:tc>
      </w:tr>
      <w:tr>
        <w:trPr/>
        <w:tc>
          <w:tcPr>
            <w:tcW w:w="2841"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Број лица ромске националности којима је пружена саветодавна помоћ корисницима</w:t>
            </w:r>
          </w:p>
        </w:tc>
        <w:tc>
          <w:tcPr>
            <w:tcW w:w="1040"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Број</w:t>
            </w:r>
          </w:p>
        </w:tc>
        <w:tc>
          <w:tcPr>
            <w:tcW w:w="87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2022</w:t>
            </w:r>
          </w:p>
        </w:tc>
        <w:tc>
          <w:tcPr>
            <w:tcW w:w="1097"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50</w:t>
            </w:r>
          </w:p>
        </w:tc>
        <w:tc>
          <w:tcPr>
            <w:tcW w:w="889" w:type="dxa"/>
            <w:gridSpan w:val="3"/>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70</w:t>
            </w:r>
          </w:p>
        </w:tc>
        <w:tc>
          <w:tcPr>
            <w:tcW w:w="1162"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80</w:t>
            </w:r>
          </w:p>
        </w:tc>
        <w:tc>
          <w:tcPr>
            <w:tcW w:w="2159"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Одељења за друштвене делатности</w:t>
            </w:r>
          </w:p>
        </w:tc>
      </w:tr>
      <w:tr>
        <w:trPr/>
        <w:tc>
          <w:tcPr>
            <w:tcW w:w="2841"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Уређена дечија игралишта и/или зелене површине</w:t>
            </w:r>
          </w:p>
        </w:tc>
        <w:tc>
          <w:tcPr>
            <w:tcW w:w="1040"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Број</w:t>
            </w:r>
          </w:p>
        </w:tc>
        <w:tc>
          <w:tcPr>
            <w:tcW w:w="87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2022</w:t>
            </w:r>
          </w:p>
        </w:tc>
        <w:tc>
          <w:tcPr>
            <w:tcW w:w="1097"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0</w:t>
            </w:r>
          </w:p>
        </w:tc>
        <w:tc>
          <w:tcPr>
            <w:tcW w:w="889" w:type="dxa"/>
            <w:gridSpan w:val="3"/>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0</w:t>
            </w:r>
          </w:p>
        </w:tc>
        <w:tc>
          <w:tcPr>
            <w:tcW w:w="1162"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w:t>
            </w:r>
          </w:p>
        </w:tc>
        <w:tc>
          <w:tcPr>
            <w:tcW w:w="2159"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Одељења за привреду, урбанизам, путну привреду, стамбене и комуналне послове и заштиту животне средине</w:t>
            </w:r>
          </w:p>
        </w:tc>
      </w:tr>
      <w:tr>
        <w:trPr/>
        <w:tc>
          <w:tcPr>
            <w:tcW w:w="2841"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Број лица ромске националности којима је пружена подршка у плаћању рачуна за електричну енергију</w:t>
            </w:r>
          </w:p>
        </w:tc>
        <w:tc>
          <w:tcPr>
            <w:tcW w:w="1040"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Број</w:t>
            </w:r>
          </w:p>
        </w:tc>
        <w:tc>
          <w:tcPr>
            <w:tcW w:w="87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2024</w:t>
            </w:r>
          </w:p>
        </w:tc>
        <w:tc>
          <w:tcPr>
            <w:tcW w:w="1097"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8</w:t>
            </w:r>
          </w:p>
        </w:tc>
        <w:tc>
          <w:tcPr>
            <w:tcW w:w="889" w:type="dxa"/>
            <w:gridSpan w:val="3"/>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10</w:t>
            </w:r>
          </w:p>
        </w:tc>
        <w:tc>
          <w:tcPr>
            <w:tcW w:w="1162"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10</w:t>
            </w:r>
          </w:p>
        </w:tc>
        <w:tc>
          <w:tcPr>
            <w:tcW w:w="2159"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Центра за социјални рад</w:t>
            </w:r>
          </w:p>
        </w:tc>
      </w:tr>
    </w:tbl>
    <w:p>
      <w:pPr>
        <w:pStyle w:val="Normal"/>
        <w:spacing w:before="240" w:after="0"/>
        <w:rPr/>
      </w:pPr>
      <w:r>
        <w:rPr/>
      </w:r>
    </w:p>
    <w:tbl>
      <w:tblPr>
        <w:tblStyle w:val="TableGrid"/>
        <w:tblW w:w="10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20"/>
        <w:gridCol w:w="2009"/>
        <w:gridCol w:w="921"/>
        <w:gridCol w:w="1038"/>
        <w:gridCol w:w="1323"/>
        <w:gridCol w:w="1128"/>
        <w:gridCol w:w="1127"/>
        <w:gridCol w:w="1692"/>
      </w:tblGrid>
      <w:tr>
        <w:trPr/>
        <w:tc>
          <w:tcPr>
            <w:tcW w:w="820"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Ознака</w:t>
            </w:r>
          </w:p>
        </w:tc>
        <w:tc>
          <w:tcPr>
            <w:tcW w:w="2009"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Назив активности</w:t>
            </w:r>
          </w:p>
        </w:tc>
        <w:tc>
          <w:tcPr>
            <w:tcW w:w="921"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Носилац</w:t>
            </w:r>
          </w:p>
        </w:tc>
        <w:tc>
          <w:tcPr>
            <w:tcW w:w="1038"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Партнер</w:t>
            </w:r>
          </w:p>
        </w:tc>
        <w:tc>
          <w:tcPr>
            <w:tcW w:w="1323"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Рок за реализацију</w:t>
            </w:r>
          </w:p>
        </w:tc>
        <w:tc>
          <w:tcPr>
            <w:tcW w:w="1128"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Укупно потребна фин. средства (РСД)</w:t>
            </w:r>
          </w:p>
        </w:tc>
        <w:tc>
          <w:tcPr>
            <w:tcW w:w="1127"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годинама (РСД)</w:t>
            </w:r>
          </w:p>
        </w:tc>
        <w:tc>
          <w:tcPr>
            <w:tcW w:w="1692"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изворима (РСД)</w:t>
            </w:r>
          </w:p>
        </w:tc>
      </w:tr>
      <w:tr>
        <w:trPr>
          <w:trHeight w:val="782" w:hRule="atLeast"/>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1.1.1</w:t>
            </w:r>
          </w:p>
        </w:tc>
        <w:tc>
          <w:tcPr>
            <w:tcW w:w="2009" w:type="dxa"/>
            <w:tcBorders/>
          </w:tcPr>
          <w:p>
            <w:pPr>
              <w:pStyle w:val="Normal"/>
              <w:widowControl w:val="false"/>
              <w:suppressAutoHyphens w:val="true"/>
              <w:spacing w:before="60" w:after="60"/>
              <w:jc w:val="left"/>
              <w:rPr>
                <w:sz w:val="20"/>
                <w:szCs w:val="20"/>
              </w:rPr>
            </w:pPr>
            <w:r>
              <w:rPr>
                <w:kern w:val="0"/>
                <w:sz w:val="20"/>
                <w:szCs w:val="20"/>
                <w:lang w:eastAsia="en-US" w:bidi="ar-SA"/>
              </w:rPr>
              <w:t>Формирање Комисије за идендификацију потреба за унапређење инфраструктуре у деловима насеља где живе Роми</w:t>
            </w:r>
          </w:p>
        </w:tc>
        <w:tc>
          <w:tcPr>
            <w:tcW w:w="921" w:type="dxa"/>
            <w:tcBorders/>
          </w:tcPr>
          <w:p>
            <w:pPr>
              <w:pStyle w:val="Normal"/>
              <w:widowControl w:val="false"/>
              <w:suppressAutoHyphens w:val="true"/>
              <w:spacing w:before="60" w:after="60"/>
              <w:rPr>
                <w:sz w:val="20"/>
                <w:szCs w:val="20"/>
                <w:lang w:val="en-US"/>
              </w:rPr>
            </w:pPr>
            <w:r>
              <w:rPr>
                <w:kern w:val="0"/>
                <w:sz w:val="20"/>
                <w:szCs w:val="20"/>
                <w:lang w:eastAsia="en-US" w:bidi="ar-SA"/>
              </w:rPr>
              <w:t>ЈЛС</w:t>
            </w:r>
          </w:p>
        </w:tc>
        <w:tc>
          <w:tcPr>
            <w:tcW w:w="1038" w:type="dxa"/>
            <w:tcBorders/>
          </w:tcPr>
          <w:p>
            <w:pPr>
              <w:pStyle w:val="Normal"/>
              <w:widowControl w:val="false"/>
              <w:suppressAutoHyphens w:val="true"/>
              <w:spacing w:before="60" w:after="60"/>
              <w:rPr>
                <w:sz w:val="20"/>
                <w:szCs w:val="20"/>
              </w:rPr>
            </w:pPr>
            <w:r>
              <w:rPr>
                <w:sz w:val="20"/>
                <w:szCs w:val="20"/>
              </w:rPr>
            </w:r>
          </w:p>
        </w:tc>
        <w:tc>
          <w:tcPr>
            <w:tcW w:w="1323" w:type="dxa"/>
            <w:tcBorders/>
          </w:tcPr>
          <w:p>
            <w:pPr>
              <w:pStyle w:val="Normal"/>
              <w:widowControl w:val="false"/>
              <w:suppressAutoHyphens w:val="true"/>
              <w:spacing w:before="60" w:after="60"/>
              <w:rPr>
                <w:sz w:val="20"/>
                <w:szCs w:val="20"/>
              </w:rPr>
            </w:pPr>
            <w:r>
              <w:rPr>
                <w:kern w:val="0"/>
                <w:sz w:val="20"/>
                <w:szCs w:val="20"/>
                <w:lang w:eastAsia="en-US" w:bidi="ar-SA"/>
              </w:rPr>
              <w:t>2025</w:t>
            </w:r>
          </w:p>
        </w:tc>
        <w:tc>
          <w:tcPr>
            <w:tcW w:w="1128" w:type="dxa"/>
            <w:tcBorders/>
          </w:tcPr>
          <w:p>
            <w:pPr>
              <w:pStyle w:val="Normal"/>
              <w:widowControl w:val="false"/>
              <w:suppressAutoHyphens w:val="true"/>
              <w:spacing w:before="60" w:after="60"/>
              <w:jc w:val="right"/>
              <w:rPr>
                <w:sz w:val="20"/>
                <w:szCs w:val="20"/>
              </w:rPr>
            </w:pPr>
            <w:r>
              <w:rPr>
                <w:kern w:val="0"/>
                <w:sz w:val="20"/>
                <w:szCs w:val="20"/>
                <w:lang w:eastAsia="en-US" w:bidi="ar-SA"/>
              </w:rPr>
              <w:t>/</w:t>
            </w:r>
          </w:p>
        </w:tc>
        <w:tc>
          <w:tcPr>
            <w:tcW w:w="1127" w:type="dxa"/>
            <w:tcBorders/>
          </w:tcPr>
          <w:p>
            <w:pPr>
              <w:pStyle w:val="Normal"/>
              <w:widowControl w:val="false"/>
              <w:suppressAutoHyphens w:val="true"/>
              <w:spacing w:before="60" w:after="60"/>
              <w:jc w:val="right"/>
              <w:rPr>
                <w:sz w:val="20"/>
                <w:szCs w:val="20"/>
              </w:rPr>
            </w:pPr>
            <w:r>
              <w:rPr>
                <w:kern w:val="0"/>
                <w:sz w:val="20"/>
                <w:szCs w:val="20"/>
                <w:lang w:eastAsia="en-US" w:bidi="ar-SA"/>
              </w:rPr>
              <w:t>/</w:t>
            </w:r>
          </w:p>
        </w:tc>
        <w:tc>
          <w:tcPr>
            <w:tcW w:w="1692" w:type="dxa"/>
            <w:tcBorders/>
          </w:tcPr>
          <w:p>
            <w:pPr>
              <w:pStyle w:val="Normal"/>
              <w:widowControl w:val="false"/>
              <w:suppressAutoHyphens w:val="true"/>
              <w:spacing w:before="60" w:after="60"/>
              <w:jc w:val="right"/>
              <w:rPr>
                <w:sz w:val="20"/>
                <w:szCs w:val="20"/>
              </w:rPr>
            </w:pPr>
            <w:r>
              <w:rPr>
                <w:kern w:val="0"/>
                <w:sz w:val="20"/>
                <w:szCs w:val="20"/>
                <w:lang w:eastAsia="en-US" w:bidi="ar-SA"/>
              </w:rPr>
              <w:t>Из редовних делатности</w:t>
            </w:r>
          </w:p>
        </w:tc>
      </w:tr>
      <w:tr>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1.1.2</w:t>
            </w:r>
          </w:p>
        </w:tc>
        <w:tc>
          <w:tcPr>
            <w:tcW w:w="2009" w:type="dxa"/>
            <w:tcBorders/>
          </w:tcPr>
          <w:p>
            <w:pPr>
              <w:pStyle w:val="Normal"/>
              <w:widowControl w:val="false"/>
              <w:suppressAutoHyphens w:val="true"/>
              <w:spacing w:before="60" w:after="60"/>
              <w:jc w:val="left"/>
              <w:rPr>
                <w:sz w:val="20"/>
                <w:szCs w:val="20"/>
              </w:rPr>
            </w:pPr>
            <w:r>
              <w:rPr>
                <w:kern w:val="0"/>
                <w:sz w:val="20"/>
                <w:szCs w:val="20"/>
                <w:lang w:eastAsia="en-US" w:bidi="ar-SA"/>
              </w:rPr>
              <w:t>Анкетно истраживање и анализа потреба ромских породица из области становања</w:t>
            </w:r>
          </w:p>
        </w:tc>
        <w:tc>
          <w:tcPr>
            <w:tcW w:w="921"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ЈЛС</w:t>
            </w:r>
          </w:p>
        </w:tc>
        <w:tc>
          <w:tcPr>
            <w:tcW w:w="1038" w:type="dxa"/>
            <w:tcBorders/>
            <w:vAlign w:val="center"/>
          </w:tcPr>
          <w:p>
            <w:pPr>
              <w:pStyle w:val="Normal"/>
              <w:widowControl w:val="false"/>
              <w:suppressAutoHyphens w:val="true"/>
              <w:spacing w:before="60" w:after="60"/>
              <w:jc w:val="center"/>
              <w:rPr>
                <w:sz w:val="20"/>
                <w:szCs w:val="20"/>
              </w:rPr>
            </w:pPr>
            <w:r>
              <w:rPr>
                <w:sz w:val="20"/>
                <w:szCs w:val="20"/>
              </w:rPr>
            </w:r>
          </w:p>
        </w:tc>
        <w:tc>
          <w:tcPr>
            <w:tcW w:w="1323"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2025-2026</w:t>
            </w:r>
          </w:p>
        </w:tc>
        <w:tc>
          <w:tcPr>
            <w:tcW w:w="1128" w:type="dxa"/>
            <w:tcBorders/>
            <w:vAlign w:val="center"/>
          </w:tcPr>
          <w:p>
            <w:pPr>
              <w:pStyle w:val="Normal"/>
              <w:widowControl w:val="false"/>
              <w:suppressAutoHyphens w:val="true"/>
              <w:spacing w:before="60" w:after="60"/>
              <w:rPr>
                <w:sz w:val="20"/>
                <w:szCs w:val="20"/>
              </w:rPr>
            </w:pPr>
            <w:r>
              <w:rPr>
                <w:kern w:val="0"/>
                <w:sz w:val="20"/>
                <w:szCs w:val="20"/>
                <w:lang w:eastAsia="en-US" w:bidi="ar-SA"/>
              </w:rPr>
              <w:t>100.000,00</w:t>
            </w:r>
          </w:p>
        </w:tc>
        <w:tc>
          <w:tcPr>
            <w:tcW w:w="1127" w:type="dxa"/>
            <w:tcBorders/>
            <w:vAlign w:val="center"/>
          </w:tcPr>
          <w:p>
            <w:pPr>
              <w:pStyle w:val="Normal"/>
              <w:widowControl w:val="false"/>
              <w:suppressAutoHyphens w:val="true"/>
              <w:spacing w:before="60" w:after="60"/>
              <w:jc w:val="center"/>
              <w:rPr>
                <w:sz w:val="20"/>
                <w:szCs w:val="20"/>
              </w:rPr>
            </w:pPr>
            <w:r>
              <w:rPr>
                <w:sz w:val="20"/>
                <w:szCs w:val="20"/>
              </w:rPr>
            </w:r>
          </w:p>
          <w:p>
            <w:pPr>
              <w:pStyle w:val="Normal"/>
              <w:widowControl w:val="false"/>
              <w:suppressAutoHyphens w:val="true"/>
              <w:spacing w:before="60" w:after="60"/>
              <w:rPr>
                <w:sz w:val="20"/>
                <w:szCs w:val="20"/>
              </w:rPr>
            </w:pPr>
            <w:r>
              <w:rPr>
                <w:kern w:val="0"/>
                <w:sz w:val="20"/>
                <w:szCs w:val="20"/>
                <w:lang w:eastAsia="en-US" w:bidi="ar-SA"/>
              </w:rPr>
              <w:t>2025. 50.000 2026. 50.000,00</w:t>
            </w:r>
          </w:p>
        </w:tc>
        <w:tc>
          <w:tcPr>
            <w:tcW w:w="1692"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Средсттва ЈЛС, АПВ, РС,</w:t>
            </w:r>
          </w:p>
          <w:p>
            <w:pPr>
              <w:pStyle w:val="Normal"/>
              <w:widowControl w:val="false"/>
              <w:suppressAutoHyphens w:val="true"/>
              <w:spacing w:before="60" w:after="60"/>
              <w:jc w:val="center"/>
              <w:rPr>
                <w:sz w:val="20"/>
                <w:szCs w:val="20"/>
              </w:rPr>
            </w:pPr>
            <w:r>
              <w:rPr>
                <w:kern w:val="0"/>
                <w:sz w:val="20"/>
                <w:szCs w:val="20"/>
                <w:lang w:eastAsia="en-US" w:bidi="ar-SA"/>
              </w:rPr>
              <w:t>Донаторска средства</w:t>
            </w:r>
          </w:p>
        </w:tc>
      </w:tr>
      <w:tr>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1.1.3</w:t>
            </w:r>
          </w:p>
        </w:tc>
        <w:tc>
          <w:tcPr>
            <w:tcW w:w="2009" w:type="dxa"/>
            <w:tcBorders/>
          </w:tcPr>
          <w:p>
            <w:pPr>
              <w:pStyle w:val="Normal"/>
              <w:widowControl w:val="false"/>
              <w:suppressAutoHyphens w:val="true"/>
              <w:spacing w:before="60" w:after="60"/>
              <w:jc w:val="left"/>
              <w:rPr>
                <w:sz w:val="20"/>
                <w:szCs w:val="20"/>
              </w:rPr>
            </w:pPr>
            <w:r>
              <w:rPr>
                <w:kern w:val="0"/>
                <w:sz w:val="20"/>
                <w:szCs w:val="20"/>
                <w:lang w:eastAsia="en-US" w:bidi="ar-SA"/>
              </w:rPr>
              <w:t>Утврђивање листе приоритетних инфраструктуралних пројеката деловима насеља где живе Роми</w:t>
            </w:r>
          </w:p>
        </w:tc>
        <w:tc>
          <w:tcPr>
            <w:tcW w:w="921"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ЈЛС</w:t>
            </w:r>
          </w:p>
        </w:tc>
        <w:tc>
          <w:tcPr>
            <w:tcW w:w="1038"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ОЦД</w:t>
            </w:r>
          </w:p>
        </w:tc>
        <w:tc>
          <w:tcPr>
            <w:tcW w:w="1323" w:type="dxa"/>
            <w:tcBorders/>
            <w:vAlign w:val="center"/>
          </w:tcPr>
          <w:p>
            <w:pPr>
              <w:pStyle w:val="Normal"/>
              <w:widowControl w:val="false"/>
              <w:suppressAutoHyphens w:val="true"/>
              <w:spacing w:before="60" w:after="60"/>
              <w:jc w:val="center"/>
              <w:rPr>
                <w:sz w:val="20"/>
                <w:szCs w:val="20"/>
              </w:rPr>
            </w:pPr>
            <w:r>
              <w:rPr>
                <w:kern w:val="0"/>
                <w:sz w:val="20"/>
                <w:szCs w:val="20"/>
                <w:lang w:val="en-US" w:eastAsia="en-US" w:bidi="ar-SA"/>
              </w:rPr>
              <w:t>202</w:t>
            </w:r>
            <w:r>
              <w:rPr>
                <w:kern w:val="0"/>
                <w:sz w:val="20"/>
                <w:szCs w:val="20"/>
                <w:lang w:eastAsia="en-US" w:bidi="ar-SA"/>
              </w:rPr>
              <w:t>6</w:t>
            </w:r>
          </w:p>
        </w:tc>
        <w:tc>
          <w:tcPr>
            <w:tcW w:w="1128" w:type="dxa"/>
            <w:tcBorders/>
            <w:vAlign w:val="center"/>
          </w:tcPr>
          <w:p>
            <w:pPr>
              <w:pStyle w:val="Normal"/>
              <w:widowControl w:val="false"/>
              <w:suppressAutoHyphens w:val="true"/>
              <w:spacing w:before="60" w:after="60"/>
              <w:jc w:val="center"/>
              <w:rPr>
                <w:sz w:val="20"/>
                <w:szCs w:val="20"/>
                <w:lang w:val="sr-Latn-RS"/>
              </w:rPr>
            </w:pPr>
            <w:r>
              <w:rPr>
                <w:kern w:val="0"/>
                <w:sz w:val="20"/>
                <w:szCs w:val="20"/>
                <w:lang w:val="sr-Latn-RS" w:eastAsia="en-US" w:bidi="ar-SA"/>
              </w:rPr>
              <w:t>-</w:t>
            </w:r>
          </w:p>
        </w:tc>
        <w:tc>
          <w:tcPr>
            <w:tcW w:w="1127" w:type="dxa"/>
            <w:tcBorders/>
            <w:vAlign w:val="center"/>
          </w:tcPr>
          <w:p>
            <w:pPr>
              <w:pStyle w:val="Normal"/>
              <w:widowControl w:val="false"/>
              <w:suppressAutoHyphens w:val="true"/>
              <w:spacing w:before="60" w:after="60"/>
              <w:jc w:val="center"/>
              <w:rPr>
                <w:sz w:val="20"/>
                <w:szCs w:val="20"/>
                <w:lang w:val="sr-Latn-RS"/>
              </w:rPr>
            </w:pPr>
            <w:r>
              <w:rPr>
                <w:kern w:val="0"/>
                <w:sz w:val="20"/>
                <w:szCs w:val="20"/>
                <w:lang w:val="sr-Latn-RS" w:eastAsia="en-US" w:bidi="ar-SA"/>
              </w:rPr>
              <w:t>-</w:t>
            </w:r>
          </w:p>
        </w:tc>
        <w:tc>
          <w:tcPr>
            <w:tcW w:w="1692"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Из редовних акктивности</w:t>
            </w:r>
          </w:p>
        </w:tc>
      </w:tr>
      <w:tr>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1.1.4</w:t>
            </w:r>
          </w:p>
        </w:tc>
        <w:tc>
          <w:tcPr>
            <w:tcW w:w="2009" w:type="dxa"/>
            <w:tcBorders/>
          </w:tcPr>
          <w:p>
            <w:pPr>
              <w:pStyle w:val="Normal"/>
              <w:widowControl w:val="false"/>
              <w:suppressAutoHyphens w:val="true"/>
              <w:spacing w:before="60" w:after="60"/>
              <w:jc w:val="left"/>
              <w:rPr>
                <w:sz w:val="20"/>
                <w:szCs w:val="20"/>
              </w:rPr>
            </w:pPr>
            <w:r>
              <w:rPr>
                <w:kern w:val="0"/>
                <w:sz w:val="20"/>
                <w:szCs w:val="20"/>
                <w:lang w:eastAsia="en-US" w:bidi="ar-SA"/>
              </w:rPr>
              <w:t>Одржавање састанка са локалним актерима представицима ромске заједнице ради утврђивање листе приоритета</w:t>
            </w:r>
          </w:p>
        </w:tc>
        <w:tc>
          <w:tcPr>
            <w:tcW w:w="921"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ЈЛС</w:t>
            </w:r>
          </w:p>
        </w:tc>
        <w:tc>
          <w:tcPr>
            <w:tcW w:w="1038"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ОЦД</w:t>
            </w:r>
          </w:p>
        </w:tc>
        <w:tc>
          <w:tcPr>
            <w:tcW w:w="1323"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2025-2026</w:t>
            </w:r>
          </w:p>
        </w:tc>
        <w:tc>
          <w:tcPr>
            <w:tcW w:w="1128"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50.000,00</w:t>
            </w:r>
          </w:p>
        </w:tc>
        <w:tc>
          <w:tcPr>
            <w:tcW w:w="112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2025.: 25.000,00</w:t>
            </w:r>
          </w:p>
          <w:p>
            <w:pPr>
              <w:pStyle w:val="Normal"/>
              <w:widowControl w:val="false"/>
              <w:suppressAutoHyphens w:val="true"/>
              <w:spacing w:before="60" w:after="60"/>
              <w:jc w:val="center"/>
              <w:rPr>
                <w:sz w:val="20"/>
                <w:szCs w:val="20"/>
              </w:rPr>
            </w:pPr>
            <w:r>
              <w:rPr>
                <w:kern w:val="0"/>
                <w:sz w:val="20"/>
                <w:szCs w:val="20"/>
                <w:lang w:eastAsia="en-US" w:bidi="ar-SA"/>
              </w:rPr>
              <w:t>2026.: 25.000</w:t>
            </w:r>
          </w:p>
        </w:tc>
        <w:tc>
          <w:tcPr>
            <w:tcW w:w="1692"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Средсттва ЈЛС, АПВ, РС,</w:t>
            </w:r>
          </w:p>
          <w:p>
            <w:pPr>
              <w:pStyle w:val="Normal"/>
              <w:widowControl w:val="false"/>
              <w:suppressAutoHyphens w:val="true"/>
              <w:spacing w:before="60" w:after="60"/>
              <w:jc w:val="center"/>
              <w:rPr>
                <w:sz w:val="20"/>
                <w:szCs w:val="20"/>
              </w:rPr>
            </w:pPr>
            <w:r>
              <w:rPr>
                <w:kern w:val="0"/>
                <w:sz w:val="20"/>
                <w:szCs w:val="20"/>
                <w:lang w:eastAsia="en-US" w:bidi="ar-SA"/>
              </w:rPr>
              <w:t>Донаторска средства</w:t>
            </w:r>
          </w:p>
        </w:tc>
      </w:tr>
      <w:tr>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1.1.5</w:t>
            </w:r>
          </w:p>
        </w:tc>
        <w:tc>
          <w:tcPr>
            <w:tcW w:w="2009" w:type="dxa"/>
            <w:tcBorders/>
          </w:tcPr>
          <w:p>
            <w:pPr>
              <w:pStyle w:val="Normal"/>
              <w:widowControl w:val="false"/>
              <w:suppressAutoHyphens w:val="true"/>
              <w:spacing w:before="60" w:after="60"/>
              <w:jc w:val="left"/>
              <w:rPr>
                <w:sz w:val="20"/>
                <w:szCs w:val="20"/>
              </w:rPr>
            </w:pPr>
            <w:r>
              <w:rPr>
                <w:kern w:val="0"/>
                <w:sz w:val="20"/>
                <w:szCs w:val="20"/>
                <w:lang w:eastAsia="en-US" w:bidi="ar-SA"/>
              </w:rPr>
              <w:t>Израда извештаја о потребама за унапређење инфраструктуре у деловима насеља где живе Роми</w:t>
            </w:r>
          </w:p>
        </w:tc>
        <w:tc>
          <w:tcPr>
            <w:tcW w:w="921"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ЈЛС</w:t>
            </w:r>
          </w:p>
        </w:tc>
        <w:tc>
          <w:tcPr>
            <w:tcW w:w="1038"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ОЦД</w:t>
            </w:r>
          </w:p>
        </w:tc>
        <w:tc>
          <w:tcPr>
            <w:tcW w:w="1323"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2026</w:t>
            </w:r>
          </w:p>
        </w:tc>
        <w:tc>
          <w:tcPr>
            <w:tcW w:w="1128"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300.000,00</w:t>
            </w:r>
          </w:p>
        </w:tc>
        <w:tc>
          <w:tcPr>
            <w:tcW w:w="1127"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300.000,00</w:t>
            </w:r>
          </w:p>
        </w:tc>
        <w:tc>
          <w:tcPr>
            <w:tcW w:w="1692"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Средсттва ЈЛС, АПВ, РС,</w:t>
            </w:r>
          </w:p>
          <w:p>
            <w:pPr>
              <w:pStyle w:val="Normal"/>
              <w:widowControl w:val="false"/>
              <w:suppressAutoHyphens w:val="true"/>
              <w:spacing w:before="60" w:after="60"/>
              <w:jc w:val="center"/>
              <w:rPr>
                <w:sz w:val="20"/>
                <w:szCs w:val="20"/>
              </w:rPr>
            </w:pPr>
            <w:r>
              <w:rPr>
                <w:kern w:val="0"/>
                <w:sz w:val="20"/>
                <w:szCs w:val="20"/>
                <w:lang w:eastAsia="en-US" w:bidi="ar-SA"/>
              </w:rPr>
              <w:t>Донаторска средства</w:t>
            </w:r>
          </w:p>
        </w:tc>
      </w:tr>
    </w:tbl>
    <w:p>
      <w:pPr>
        <w:pStyle w:val="Normal"/>
        <w:spacing w:before="200" w:after="0"/>
        <w:rPr/>
      </w:pPr>
      <w:r>
        <w:rPr/>
      </w:r>
    </w:p>
    <w:p>
      <w:pPr>
        <w:pStyle w:val="Normal"/>
        <w:spacing w:before="200" w:after="0"/>
        <w:rPr/>
      </w:pPr>
      <w:r>
        <w:rPr/>
      </w:r>
    </w:p>
    <w:tbl>
      <w:tblPr>
        <w:tblStyle w:val="TableGrid"/>
        <w:tblW w:w="10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62"/>
        <w:gridCol w:w="1274"/>
        <w:gridCol w:w="1019"/>
        <w:gridCol w:w="1679"/>
        <w:gridCol w:w="1003"/>
        <w:gridCol w:w="74"/>
        <w:gridCol w:w="273"/>
        <w:gridCol w:w="377"/>
        <w:gridCol w:w="732"/>
        <w:gridCol w:w="404"/>
        <w:gridCol w:w="379"/>
        <w:gridCol w:w="1482"/>
      </w:tblGrid>
      <w:tr>
        <w:trPr>
          <w:trHeight w:val="676" w:hRule="atLeast"/>
        </w:trPr>
        <w:tc>
          <w:tcPr>
            <w:tcW w:w="1362" w:type="dxa"/>
            <w:tcBorders/>
            <w:shd w:color="auto" w:fill="E36C0A" w:themeFill="accent6" w:themeFillShade="bf" w:val="clear"/>
          </w:tcPr>
          <w:p>
            <w:pPr>
              <w:pStyle w:val="Normal"/>
              <w:widowControl w:val="false"/>
              <w:suppressAutoHyphens w:val="true"/>
              <w:spacing w:before="60" w:after="60"/>
              <w:rPr>
                <w:b/>
                <w:sz w:val="20"/>
                <w:szCs w:val="20"/>
              </w:rPr>
            </w:pPr>
            <w:r>
              <w:rPr>
                <w:b/>
                <w:kern w:val="0"/>
                <w:sz w:val="20"/>
                <w:szCs w:val="20"/>
                <w:lang w:eastAsia="en-US" w:bidi="ar-SA"/>
              </w:rPr>
              <w:t>МЕРА 1.2:</w:t>
            </w:r>
          </w:p>
        </w:tc>
        <w:tc>
          <w:tcPr>
            <w:tcW w:w="3972" w:type="dxa"/>
            <w:gridSpan w:val="3"/>
            <w:tcBorders/>
            <w:shd w:color="auto" w:fill="E36C0A" w:themeFill="accent6" w:themeFillShade="bf" w:val="clear"/>
            <w:vAlign w:val="center"/>
          </w:tcPr>
          <w:p>
            <w:pPr>
              <w:pStyle w:val="Pasus1"/>
              <w:widowControl w:val="false"/>
              <w:suppressAutoHyphens w:val="true"/>
              <w:spacing w:before="80" w:after="80"/>
              <w:jc w:val="left"/>
              <w:rPr>
                <w:rFonts w:ascii="Calibri" w:hAnsi="Calibri" w:cs="Calibri" w:asciiTheme="minorHAnsi" w:cstheme="minorHAnsi" w:hAnsiTheme="minorHAnsi"/>
                <w:sz w:val="20"/>
                <w:szCs w:val="20"/>
                <w:lang w:val="sr-RS"/>
              </w:rPr>
            </w:pPr>
            <w:r>
              <w:rPr>
                <w:rFonts w:cs="Calibri" w:ascii="Calibri" w:hAnsi="Calibri" w:asciiTheme="minorHAnsi" w:cstheme="minorHAnsi" w:hAnsiTheme="minorHAnsi"/>
                <w:kern w:val="0"/>
                <w:sz w:val="20"/>
                <w:szCs w:val="20"/>
                <w:lang w:val="sr-RS" w:eastAsia="en-US" w:bidi="ar-SA"/>
              </w:rPr>
              <w:t>Израда пројектно-техничке документације за извођење недостајуће инфраструктуре у  насељима где живе Роми.</w:t>
            </w:r>
          </w:p>
        </w:tc>
        <w:tc>
          <w:tcPr>
            <w:tcW w:w="1350" w:type="dxa"/>
            <w:gridSpan w:val="3"/>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Тип мере:</w:t>
            </w:r>
          </w:p>
        </w:tc>
        <w:tc>
          <w:tcPr>
            <w:tcW w:w="3374" w:type="dxa"/>
            <w:gridSpan w:val="5"/>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Инфраструктурна</w:t>
            </w:r>
          </w:p>
        </w:tc>
      </w:tr>
      <w:tr>
        <w:trPr>
          <w:trHeight w:val="633" w:hRule="atLeast"/>
        </w:trPr>
        <w:tc>
          <w:tcPr>
            <w:tcW w:w="1362"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Носилац мере:</w:t>
            </w:r>
          </w:p>
        </w:tc>
        <w:tc>
          <w:tcPr>
            <w:tcW w:w="3972" w:type="dxa"/>
            <w:gridSpan w:val="3"/>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ЈЛС</w:t>
            </w:r>
          </w:p>
        </w:tc>
        <w:tc>
          <w:tcPr>
            <w:tcW w:w="1350" w:type="dxa"/>
            <w:gridSpan w:val="3"/>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Партнери:</w:t>
            </w:r>
          </w:p>
        </w:tc>
        <w:tc>
          <w:tcPr>
            <w:tcW w:w="3374" w:type="dxa"/>
            <w:gridSpan w:val="5"/>
            <w:tcBorders/>
            <w:shd w:color="auto" w:fill="FBD4B4" w:themeFill="accent6" w:themeFillTint="66" w:val="clear"/>
          </w:tcPr>
          <w:p>
            <w:pPr>
              <w:pStyle w:val="Normal"/>
              <w:widowControl w:val="false"/>
              <w:suppressAutoHyphens w:val="true"/>
              <w:spacing w:before="60" w:after="60"/>
              <w:rPr>
                <w:sz w:val="20"/>
                <w:szCs w:val="20"/>
              </w:rPr>
            </w:pPr>
            <w:r>
              <w:rPr>
                <w:sz w:val="20"/>
                <w:szCs w:val="20"/>
              </w:rPr>
            </w:r>
          </w:p>
        </w:tc>
      </w:tr>
      <w:tr>
        <w:trPr>
          <w:trHeight w:val="612" w:hRule="atLeast"/>
        </w:trPr>
        <w:tc>
          <w:tcPr>
            <w:tcW w:w="1362"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Период спровођења:</w:t>
            </w:r>
          </w:p>
        </w:tc>
        <w:tc>
          <w:tcPr>
            <w:tcW w:w="1274"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2025-2027</w:t>
            </w:r>
          </w:p>
        </w:tc>
        <w:tc>
          <w:tcPr>
            <w:tcW w:w="4048" w:type="dxa"/>
            <w:gridSpan w:val="5"/>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Потребне измене прописа:</w:t>
            </w:r>
          </w:p>
        </w:tc>
        <w:tc>
          <w:tcPr>
            <w:tcW w:w="3374" w:type="dxa"/>
            <w:gridSpan w:val="5"/>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Не</w:t>
            </w:r>
          </w:p>
        </w:tc>
      </w:tr>
      <w:tr>
        <w:trPr>
          <w:trHeight w:val="1369" w:hRule="atLeast"/>
        </w:trPr>
        <w:tc>
          <w:tcPr>
            <w:tcW w:w="1362" w:type="dxa"/>
            <w:tcBorders/>
            <w:shd w:color="auto" w:fill="FBD4B4" w:themeFill="accent6" w:themeFillTint="66" w:val="clear"/>
          </w:tcPr>
          <w:p>
            <w:pPr>
              <w:pStyle w:val="Normal"/>
              <w:widowControl w:val="false"/>
              <w:suppressAutoHyphens w:val="true"/>
              <w:spacing w:before="60" w:after="60"/>
              <w:jc w:val="left"/>
              <w:rPr>
                <w:sz w:val="20"/>
                <w:szCs w:val="20"/>
              </w:rPr>
            </w:pPr>
            <w:r>
              <w:rPr>
                <w:kern w:val="0"/>
                <w:sz w:val="20"/>
                <w:szCs w:val="20"/>
                <w:lang w:eastAsia="en-US" w:bidi="ar-SA"/>
              </w:rPr>
              <w:t>Укупно процењена финансијска средства за меру (РСД):</w:t>
            </w:r>
          </w:p>
        </w:tc>
        <w:tc>
          <w:tcPr>
            <w:tcW w:w="1274" w:type="dxa"/>
            <w:tcBorders/>
            <w:shd w:color="auto" w:fill="FBD4B4" w:themeFill="accent6" w:themeFillTint="66" w:val="clear"/>
          </w:tcPr>
          <w:p>
            <w:pPr>
              <w:pStyle w:val="Normal"/>
              <w:widowControl w:val="false"/>
              <w:suppressAutoHyphens w:val="true"/>
              <w:spacing w:before="60" w:after="60"/>
              <w:jc w:val="right"/>
              <w:rPr>
                <w:rStyle w:val="Style6"/>
                <w:sz w:val="20"/>
                <w:szCs w:val="20"/>
              </w:rPr>
            </w:pPr>
            <w:r>
              <w:rPr>
                <w:kern w:val="0"/>
                <w:sz w:val="20"/>
                <w:szCs w:val="20"/>
                <w:lang w:eastAsia="en-US" w:bidi="ar-SA"/>
              </w:rPr>
              <w:t>2.500.000,0</w:t>
            </w:r>
          </w:p>
        </w:tc>
        <w:tc>
          <w:tcPr>
            <w:tcW w:w="2698" w:type="dxa"/>
            <w:gridSpan w:val="2"/>
            <w:tcBorders/>
            <w:shd w:color="auto" w:fill="FBD4B4" w:themeFill="accent6" w:themeFillTint="66" w:val="clear"/>
          </w:tcPr>
          <w:p>
            <w:pPr>
              <w:pStyle w:val="Normal"/>
              <w:widowControl w:val="false"/>
              <w:suppressAutoHyphens w:val="true"/>
              <w:spacing w:before="60" w:after="60"/>
              <w:jc w:val="left"/>
              <w:rPr>
                <w:rStyle w:val="Style6"/>
                <w:sz w:val="20"/>
                <w:szCs w:val="20"/>
              </w:rPr>
            </w:pPr>
            <w:r>
              <w:rPr>
                <w:kern w:val="0"/>
                <w:sz w:val="20"/>
                <w:szCs w:val="20"/>
                <w:lang w:eastAsia="en-US" w:bidi="ar-SA"/>
              </w:rPr>
              <w:t>Вредности фин. средстава по годинама (РСД):</w:t>
            </w:r>
          </w:p>
        </w:tc>
        <w:tc>
          <w:tcPr>
            <w:tcW w:w="1077" w:type="dxa"/>
            <w:gridSpan w:val="2"/>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2025:</w:t>
            </w:r>
          </w:p>
          <w:p>
            <w:pPr>
              <w:pStyle w:val="Normal"/>
              <w:widowControl w:val="false"/>
              <w:suppressAutoHyphens w:val="true"/>
              <w:spacing w:before="60" w:after="60"/>
              <w:jc w:val="right"/>
              <w:rPr>
                <w:sz w:val="20"/>
                <w:szCs w:val="20"/>
              </w:rPr>
            </w:pPr>
            <w:r>
              <w:rPr>
                <w:kern w:val="0"/>
                <w:sz w:val="20"/>
                <w:szCs w:val="20"/>
                <w:lang w:eastAsia="en-US" w:bidi="ar-SA"/>
              </w:rPr>
              <w:t>2026:</w:t>
            </w:r>
          </w:p>
          <w:p>
            <w:pPr>
              <w:pStyle w:val="Normal"/>
              <w:widowControl w:val="false"/>
              <w:suppressAutoHyphens w:val="true"/>
              <w:spacing w:before="60" w:after="60"/>
              <w:jc w:val="right"/>
              <w:rPr>
                <w:rStyle w:val="Style6"/>
                <w:position w:val="0"/>
                <w:sz w:val="20"/>
                <w:sz w:val="20"/>
                <w:szCs w:val="20"/>
                <w:vertAlign w:val="baseline"/>
              </w:rPr>
            </w:pPr>
            <w:r>
              <w:rPr>
                <w:rStyle w:val="Style6"/>
                <w:kern w:val="0"/>
                <w:position w:val="0"/>
                <w:sz w:val="20"/>
                <w:sz w:val="20"/>
                <w:szCs w:val="20"/>
                <w:vertAlign w:val="baseline"/>
                <w:lang w:eastAsia="en-US" w:bidi="ar-SA"/>
              </w:rPr>
              <w:t>2007:</w:t>
            </w:r>
          </w:p>
        </w:tc>
        <w:tc>
          <w:tcPr>
            <w:tcW w:w="1786" w:type="dxa"/>
            <w:gridSpan w:val="4"/>
            <w:tcBorders/>
            <w:shd w:color="auto" w:fill="FBD4B4" w:themeFill="accent6" w:themeFillTint="66" w:val="clea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средстава по изворима финансир.:</w:t>
            </w:r>
          </w:p>
        </w:tc>
        <w:tc>
          <w:tcPr>
            <w:tcW w:w="1861" w:type="dxa"/>
            <w:gridSpan w:val="2"/>
            <w:tcBorders/>
            <w:shd w:color="auto" w:fill="FBD4B4" w:themeFill="accent6" w:themeFillTint="66" w:val="clear"/>
          </w:tcPr>
          <w:p>
            <w:pPr>
              <w:pStyle w:val="Normal"/>
              <w:widowControl w:val="false"/>
              <w:suppressAutoHyphens w:val="true"/>
              <w:spacing w:before="60" w:after="60"/>
              <w:jc w:val="right"/>
              <w:rPr>
                <w:sz w:val="20"/>
                <w:szCs w:val="20"/>
                <w:lang w:val="sr-Latn-RS"/>
              </w:rPr>
            </w:pPr>
            <w:r>
              <w:rPr>
                <w:kern w:val="0"/>
                <w:sz w:val="20"/>
                <w:szCs w:val="20"/>
                <w:lang w:eastAsia="en-US" w:bidi="ar-SA"/>
              </w:rPr>
              <w:t>ЈЛС:</w:t>
            </w:r>
            <w:r>
              <w:rPr>
                <w:kern w:val="0"/>
                <w:sz w:val="20"/>
                <w:szCs w:val="20"/>
                <w:lang w:val="sr-Latn-RS" w:eastAsia="en-US" w:bidi="ar-SA"/>
              </w:rPr>
              <w:t xml:space="preserve"> 1.000.000,00</w:t>
            </w:r>
          </w:p>
          <w:p>
            <w:pPr>
              <w:pStyle w:val="Normal"/>
              <w:widowControl w:val="false"/>
              <w:suppressAutoHyphens w:val="true"/>
              <w:spacing w:before="60" w:after="60"/>
              <w:jc w:val="right"/>
              <w:rPr>
                <w:rStyle w:val="Style6"/>
                <w:position w:val="0"/>
                <w:sz w:val="20"/>
                <w:sz w:val="20"/>
                <w:szCs w:val="20"/>
                <w:vertAlign w:val="baseline"/>
              </w:rPr>
            </w:pPr>
            <w:r>
              <w:rPr>
                <w:kern w:val="0"/>
                <w:sz w:val="20"/>
                <w:szCs w:val="20"/>
                <w:lang w:eastAsia="en-US" w:bidi="ar-SA"/>
              </w:rPr>
              <w:t>Донаторска средства:</w:t>
            </w:r>
            <w:r>
              <w:rPr>
                <w:kern w:val="0"/>
                <w:sz w:val="20"/>
                <w:szCs w:val="20"/>
                <w:lang w:val="sr-Latn-RS" w:eastAsia="en-US" w:bidi="ar-SA"/>
              </w:rPr>
              <w:t xml:space="preserve"> 1.500.000,00</w:t>
            </w:r>
          </w:p>
        </w:tc>
      </w:tr>
      <w:tr>
        <w:trPr>
          <w:trHeight w:val="388" w:hRule="atLeast"/>
        </w:trPr>
        <w:tc>
          <w:tcPr>
            <w:tcW w:w="2636" w:type="dxa"/>
            <w:gridSpan w:val="2"/>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Показатељи на нивоу мере (показатељи резултата)</w:t>
            </w:r>
          </w:p>
        </w:tc>
        <w:tc>
          <w:tcPr>
            <w:tcW w:w="1019"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Јединица мере</w:t>
            </w:r>
          </w:p>
        </w:tc>
        <w:tc>
          <w:tcPr>
            <w:tcW w:w="1679"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година</w:t>
            </w:r>
          </w:p>
        </w:tc>
        <w:tc>
          <w:tcPr>
            <w:tcW w:w="1003"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вредност</w:t>
            </w:r>
          </w:p>
        </w:tc>
        <w:tc>
          <w:tcPr>
            <w:tcW w:w="2239" w:type="dxa"/>
            <w:gridSpan w:val="6"/>
            <w:tcBorders/>
            <w:shd w:color="auto" w:fill="E36C0A" w:themeFill="accent6" w:themeFillShade="bf"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Циљне вредности</w:t>
            </w:r>
          </w:p>
        </w:tc>
        <w:tc>
          <w:tcPr>
            <w:tcW w:w="1482"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Извор провере</w:t>
            </w:r>
          </w:p>
        </w:tc>
      </w:tr>
      <w:tr>
        <w:trPr>
          <w:trHeight w:val="367" w:hRule="atLeast"/>
        </w:trPr>
        <w:tc>
          <w:tcPr>
            <w:tcW w:w="2636" w:type="dxa"/>
            <w:gridSpan w:val="2"/>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19"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679"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03"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724" w:type="dxa"/>
            <w:gridSpan w:val="3"/>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2025.</w:t>
            </w:r>
          </w:p>
        </w:tc>
        <w:tc>
          <w:tcPr>
            <w:tcW w:w="732" w:type="dxa"/>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2026.</w:t>
            </w:r>
          </w:p>
        </w:tc>
        <w:tc>
          <w:tcPr>
            <w:tcW w:w="783" w:type="dxa"/>
            <w:gridSpan w:val="2"/>
            <w:tcBorders/>
            <w:shd w:color="auto" w:fill="FABF8F" w:themeFill="accent6" w:themeFillTint="99" w:val="clear"/>
          </w:tcPr>
          <w:p>
            <w:pPr>
              <w:pStyle w:val="Normal"/>
              <w:widowControl w:val="false"/>
              <w:suppressAutoHyphens w:val="true"/>
              <w:spacing w:before="60" w:after="60"/>
              <w:jc w:val="center"/>
              <w:rPr>
                <w:rStyle w:val="Style6"/>
                <w:sz w:val="20"/>
                <w:szCs w:val="20"/>
              </w:rPr>
            </w:pPr>
            <w:r>
              <w:rPr>
                <w:kern w:val="0"/>
                <w:sz w:val="20"/>
                <w:szCs w:val="20"/>
                <w:lang w:eastAsia="en-US" w:bidi="ar-SA"/>
              </w:rPr>
              <w:t>2027</w:t>
            </w:r>
          </w:p>
        </w:tc>
        <w:tc>
          <w:tcPr>
            <w:tcW w:w="1482"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r>
      <w:tr>
        <w:trPr>
          <w:trHeight w:val="878" w:hRule="atLeast"/>
        </w:trPr>
        <w:tc>
          <w:tcPr>
            <w:tcW w:w="2636" w:type="dxa"/>
            <w:gridSpan w:val="2"/>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Број израђене пројектно-техничке документације</w:t>
            </w:r>
          </w:p>
        </w:tc>
        <w:tc>
          <w:tcPr>
            <w:tcW w:w="1019" w:type="dxa"/>
            <w:tcBorders/>
          </w:tcPr>
          <w:p>
            <w:pPr>
              <w:pStyle w:val="Normal"/>
              <w:widowControl w:val="false"/>
              <w:suppressAutoHyphens w:val="true"/>
              <w:spacing w:before="60" w:after="60"/>
              <w:jc w:val="center"/>
              <w:rPr>
                <w:rStyle w:val="Style6"/>
                <w:sz w:val="20"/>
                <w:szCs w:val="20"/>
                <w:lang w:val="en-US"/>
              </w:rPr>
            </w:pPr>
            <w:r>
              <w:rPr>
                <w:kern w:val="0"/>
                <w:sz w:val="20"/>
                <w:szCs w:val="20"/>
                <w:lang w:eastAsia="en-US" w:bidi="ar-SA"/>
              </w:rPr>
              <w:t>Број</w:t>
            </w:r>
          </w:p>
        </w:tc>
        <w:tc>
          <w:tcPr>
            <w:tcW w:w="1679" w:type="dxa"/>
            <w:tcBorders/>
          </w:tcPr>
          <w:p>
            <w:pPr>
              <w:pStyle w:val="Normal"/>
              <w:widowControl w:val="false"/>
              <w:suppressAutoHyphens w:val="true"/>
              <w:spacing w:before="60" w:after="60"/>
              <w:jc w:val="center"/>
              <w:rPr>
                <w:rStyle w:val="Style6"/>
                <w:sz w:val="20"/>
                <w:szCs w:val="20"/>
              </w:rPr>
            </w:pPr>
            <w:r>
              <w:rPr>
                <w:kern w:val="0"/>
                <w:sz w:val="22"/>
                <w:szCs w:val="22"/>
                <w:lang w:eastAsia="en-US" w:bidi="ar-SA"/>
              </w:rPr>
              <w:t>2024</w:t>
            </w:r>
          </w:p>
        </w:tc>
        <w:tc>
          <w:tcPr>
            <w:tcW w:w="1003" w:type="dxa"/>
            <w:tcBorders/>
          </w:tcPr>
          <w:p>
            <w:pPr>
              <w:pStyle w:val="Normal"/>
              <w:widowControl w:val="false"/>
              <w:suppressAutoHyphens w:val="true"/>
              <w:spacing w:before="60" w:after="60"/>
              <w:jc w:val="center"/>
              <w:rPr>
                <w:rStyle w:val="Style6"/>
                <w:sz w:val="20"/>
                <w:szCs w:val="20"/>
              </w:rPr>
            </w:pPr>
            <w:r>
              <w:rPr>
                <w:rStyle w:val="Style6"/>
                <w:kern w:val="0"/>
                <w:sz w:val="20"/>
                <w:szCs w:val="20"/>
                <w:lang w:eastAsia="en-US" w:bidi="ar-SA"/>
              </w:rPr>
              <w:t>2</w:t>
            </w:r>
          </w:p>
        </w:tc>
        <w:tc>
          <w:tcPr>
            <w:tcW w:w="724" w:type="dxa"/>
            <w:gridSpan w:val="3"/>
            <w:tcBorders/>
          </w:tcPr>
          <w:p>
            <w:pPr>
              <w:pStyle w:val="Normal"/>
              <w:widowControl w:val="false"/>
              <w:suppressAutoHyphens w:val="true"/>
              <w:spacing w:before="60" w:after="60"/>
              <w:jc w:val="center"/>
              <w:rPr>
                <w:rStyle w:val="Style6"/>
                <w:sz w:val="20"/>
                <w:szCs w:val="20"/>
              </w:rPr>
            </w:pPr>
            <w:r>
              <w:rPr>
                <w:rStyle w:val="Style6"/>
                <w:kern w:val="0"/>
                <w:sz w:val="20"/>
                <w:szCs w:val="20"/>
                <w:lang w:eastAsia="en-US" w:bidi="ar-SA"/>
              </w:rPr>
              <w:t>2</w:t>
            </w:r>
          </w:p>
        </w:tc>
        <w:tc>
          <w:tcPr>
            <w:tcW w:w="732" w:type="dxa"/>
            <w:tcBorders/>
          </w:tcPr>
          <w:p>
            <w:pPr>
              <w:pStyle w:val="Normal"/>
              <w:widowControl w:val="false"/>
              <w:suppressAutoHyphens w:val="true"/>
              <w:spacing w:before="60" w:after="60"/>
              <w:jc w:val="center"/>
              <w:rPr>
                <w:rStyle w:val="Style6"/>
                <w:sz w:val="20"/>
                <w:szCs w:val="20"/>
              </w:rPr>
            </w:pPr>
            <w:r>
              <w:rPr>
                <w:rStyle w:val="Style6"/>
                <w:kern w:val="0"/>
                <w:sz w:val="20"/>
                <w:szCs w:val="20"/>
                <w:lang w:eastAsia="en-US" w:bidi="ar-SA"/>
              </w:rPr>
              <w:t>1</w:t>
            </w:r>
          </w:p>
        </w:tc>
        <w:tc>
          <w:tcPr>
            <w:tcW w:w="783"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1</w:t>
            </w:r>
          </w:p>
        </w:tc>
        <w:tc>
          <w:tcPr>
            <w:tcW w:w="1482"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о спровођењу ЛАП-а</w:t>
            </w:r>
          </w:p>
        </w:tc>
      </w:tr>
    </w:tbl>
    <w:p>
      <w:pPr>
        <w:pStyle w:val="Normal"/>
        <w:spacing w:before="240" w:after="0"/>
        <w:rPr/>
      </w:pPr>
      <w:r>
        <w:rPr/>
      </w:r>
    </w:p>
    <w:p>
      <w:pPr>
        <w:pStyle w:val="Normal"/>
        <w:spacing w:before="240" w:after="0"/>
        <w:rPr/>
      </w:pPr>
      <w:r>
        <w:rPr/>
      </w:r>
    </w:p>
    <w:p>
      <w:pPr>
        <w:pStyle w:val="Normal"/>
        <w:spacing w:before="240" w:after="0"/>
        <w:rPr/>
      </w:pPr>
      <w:r>
        <w:rPr/>
      </w:r>
    </w:p>
    <w:tbl>
      <w:tblPr>
        <w:tblStyle w:val="TableGrid"/>
        <w:tblW w:w="977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26"/>
        <w:gridCol w:w="1500"/>
        <w:gridCol w:w="947"/>
        <w:gridCol w:w="1044"/>
        <w:gridCol w:w="1262"/>
        <w:gridCol w:w="1275"/>
        <w:gridCol w:w="1284"/>
        <w:gridCol w:w="1636"/>
      </w:tblGrid>
      <w:tr>
        <w:trPr/>
        <w:tc>
          <w:tcPr>
            <w:tcW w:w="826"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Ознака</w:t>
            </w:r>
          </w:p>
        </w:tc>
        <w:tc>
          <w:tcPr>
            <w:tcW w:w="1500"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Назив активности</w:t>
            </w:r>
          </w:p>
        </w:tc>
        <w:tc>
          <w:tcPr>
            <w:tcW w:w="947"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Носилац</w:t>
            </w:r>
          </w:p>
        </w:tc>
        <w:tc>
          <w:tcPr>
            <w:tcW w:w="1044"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Партнери</w:t>
            </w:r>
          </w:p>
        </w:tc>
        <w:tc>
          <w:tcPr>
            <w:tcW w:w="1262"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Рок за реализацију</w:t>
            </w:r>
          </w:p>
        </w:tc>
        <w:tc>
          <w:tcPr>
            <w:tcW w:w="1275"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Укупно потребна фин. средства (РСД)</w:t>
            </w:r>
          </w:p>
        </w:tc>
        <w:tc>
          <w:tcPr>
            <w:tcW w:w="1284"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годинама (РСД)</w:t>
            </w:r>
          </w:p>
        </w:tc>
        <w:tc>
          <w:tcPr>
            <w:tcW w:w="1636"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изворима (РСД)</w:t>
            </w:r>
          </w:p>
        </w:tc>
      </w:tr>
      <w:tr>
        <w:trPr/>
        <w:tc>
          <w:tcPr>
            <w:tcW w:w="826" w:type="dxa"/>
            <w:tcBorders/>
          </w:tcPr>
          <w:p>
            <w:pPr>
              <w:pStyle w:val="Normal"/>
              <w:widowControl w:val="false"/>
              <w:suppressAutoHyphens w:val="true"/>
              <w:spacing w:before="60" w:after="60"/>
              <w:jc w:val="left"/>
              <w:rPr>
                <w:sz w:val="20"/>
                <w:szCs w:val="20"/>
              </w:rPr>
            </w:pPr>
            <w:r>
              <w:rPr>
                <w:kern w:val="0"/>
                <w:sz w:val="20"/>
                <w:szCs w:val="20"/>
                <w:lang w:eastAsia="en-US" w:bidi="ar-SA"/>
              </w:rPr>
              <w:t>1.2.1</w:t>
            </w:r>
          </w:p>
        </w:tc>
        <w:tc>
          <w:tcPr>
            <w:tcW w:w="1500" w:type="dxa"/>
            <w:tcBorders/>
          </w:tcPr>
          <w:p>
            <w:pPr>
              <w:pStyle w:val="Normal"/>
              <w:widowControl w:val="false"/>
              <w:suppressAutoHyphens w:val="true"/>
              <w:spacing w:before="60" w:after="60"/>
              <w:jc w:val="left"/>
              <w:rPr>
                <w:sz w:val="20"/>
                <w:szCs w:val="20"/>
              </w:rPr>
            </w:pPr>
            <w:r>
              <w:rPr>
                <w:kern w:val="0"/>
                <w:sz w:val="20"/>
                <w:szCs w:val="20"/>
                <w:lang w:eastAsia="en-US" w:bidi="ar-SA"/>
              </w:rPr>
              <w:t>Расписивање ЈН за избор обрађивача пројектно-техничке документације</w:t>
            </w:r>
          </w:p>
        </w:tc>
        <w:tc>
          <w:tcPr>
            <w:tcW w:w="947" w:type="dxa"/>
            <w:tcBorders/>
          </w:tcPr>
          <w:p>
            <w:pPr>
              <w:pStyle w:val="Normal"/>
              <w:widowControl w:val="false"/>
              <w:suppressAutoHyphens w:val="true"/>
              <w:spacing w:before="60" w:after="60"/>
              <w:rPr>
                <w:sz w:val="20"/>
                <w:szCs w:val="20"/>
              </w:rPr>
            </w:pPr>
            <w:r>
              <w:rPr>
                <w:kern w:val="0"/>
                <w:sz w:val="20"/>
                <w:szCs w:val="20"/>
                <w:lang w:eastAsia="en-US" w:bidi="ar-SA"/>
              </w:rPr>
              <w:t>ЈЛС</w:t>
            </w:r>
          </w:p>
        </w:tc>
        <w:tc>
          <w:tcPr>
            <w:tcW w:w="1044" w:type="dxa"/>
            <w:tcBorders/>
          </w:tcPr>
          <w:p>
            <w:pPr>
              <w:pStyle w:val="Normal"/>
              <w:widowControl w:val="false"/>
              <w:suppressAutoHyphens w:val="true"/>
              <w:spacing w:before="60" w:after="60"/>
              <w:rPr>
                <w:sz w:val="20"/>
                <w:szCs w:val="20"/>
              </w:rPr>
            </w:pPr>
            <w:r>
              <w:rPr>
                <w:sz w:val="20"/>
                <w:szCs w:val="20"/>
              </w:rPr>
            </w:r>
          </w:p>
        </w:tc>
        <w:tc>
          <w:tcPr>
            <w:tcW w:w="1262" w:type="dxa"/>
            <w:tcBorders/>
          </w:tcPr>
          <w:p>
            <w:pPr>
              <w:pStyle w:val="Normal"/>
              <w:widowControl w:val="false"/>
              <w:suppressAutoHyphens w:val="true"/>
              <w:spacing w:before="60" w:after="60"/>
              <w:rPr>
                <w:sz w:val="20"/>
                <w:szCs w:val="20"/>
              </w:rPr>
            </w:pPr>
            <w:r>
              <w:rPr>
                <w:kern w:val="0"/>
                <w:sz w:val="20"/>
                <w:szCs w:val="20"/>
                <w:lang w:eastAsia="en-US" w:bidi="ar-SA"/>
              </w:rPr>
              <w:t>2025-2027</w:t>
            </w:r>
          </w:p>
        </w:tc>
        <w:tc>
          <w:tcPr>
            <w:tcW w:w="1275" w:type="dxa"/>
            <w:tcBorders/>
          </w:tcPr>
          <w:p>
            <w:pPr>
              <w:pStyle w:val="Normal"/>
              <w:widowControl w:val="false"/>
              <w:suppressAutoHyphens w:val="true"/>
              <w:spacing w:before="60" w:after="60"/>
              <w:jc w:val="right"/>
              <w:rPr>
                <w:sz w:val="20"/>
                <w:szCs w:val="20"/>
              </w:rPr>
            </w:pPr>
            <w:r>
              <w:rPr>
                <w:kern w:val="0"/>
                <w:sz w:val="20"/>
                <w:szCs w:val="20"/>
                <w:lang w:eastAsia="en-US" w:bidi="ar-SA"/>
              </w:rPr>
              <w:t>-</w:t>
            </w:r>
          </w:p>
        </w:tc>
        <w:tc>
          <w:tcPr>
            <w:tcW w:w="1284" w:type="dxa"/>
            <w:tcBorders/>
          </w:tcPr>
          <w:p>
            <w:pPr>
              <w:pStyle w:val="Normal"/>
              <w:widowControl w:val="false"/>
              <w:suppressAutoHyphens w:val="true"/>
              <w:spacing w:before="60" w:after="60"/>
              <w:jc w:val="right"/>
              <w:rPr>
                <w:sz w:val="20"/>
                <w:szCs w:val="20"/>
              </w:rPr>
            </w:pPr>
            <w:r>
              <w:rPr>
                <w:kern w:val="0"/>
                <w:sz w:val="20"/>
                <w:szCs w:val="20"/>
                <w:lang w:eastAsia="en-US" w:bidi="ar-SA"/>
              </w:rPr>
              <w:t>-</w:t>
            </w:r>
          </w:p>
        </w:tc>
        <w:tc>
          <w:tcPr>
            <w:tcW w:w="1636" w:type="dxa"/>
            <w:tcBorders/>
          </w:tcPr>
          <w:p>
            <w:pPr>
              <w:pStyle w:val="Normal"/>
              <w:widowControl w:val="false"/>
              <w:suppressAutoHyphens w:val="true"/>
              <w:spacing w:before="60" w:after="60"/>
              <w:jc w:val="right"/>
              <w:rPr>
                <w:sz w:val="20"/>
                <w:szCs w:val="20"/>
              </w:rPr>
            </w:pPr>
            <w:r>
              <w:rPr>
                <w:kern w:val="0"/>
                <w:sz w:val="20"/>
                <w:szCs w:val="20"/>
                <w:lang w:eastAsia="en-US" w:bidi="ar-SA"/>
              </w:rPr>
              <w:t>Из редовних активности</w:t>
            </w:r>
          </w:p>
        </w:tc>
      </w:tr>
      <w:tr>
        <w:trPr/>
        <w:tc>
          <w:tcPr>
            <w:tcW w:w="826" w:type="dxa"/>
            <w:tcBorders/>
          </w:tcPr>
          <w:p>
            <w:pPr>
              <w:pStyle w:val="Normal"/>
              <w:widowControl w:val="false"/>
              <w:suppressAutoHyphens w:val="true"/>
              <w:spacing w:before="60" w:after="60"/>
              <w:jc w:val="left"/>
              <w:rPr>
                <w:sz w:val="20"/>
                <w:szCs w:val="20"/>
              </w:rPr>
            </w:pPr>
            <w:r>
              <w:rPr>
                <w:kern w:val="0"/>
                <w:sz w:val="20"/>
                <w:szCs w:val="20"/>
                <w:lang w:eastAsia="en-US" w:bidi="ar-SA"/>
              </w:rPr>
              <w:t>1.2.2</w:t>
            </w:r>
          </w:p>
        </w:tc>
        <w:tc>
          <w:tcPr>
            <w:tcW w:w="1500" w:type="dxa"/>
            <w:tcBorders/>
          </w:tcPr>
          <w:p>
            <w:pPr>
              <w:pStyle w:val="Normal"/>
              <w:widowControl w:val="false"/>
              <w:suppressAutoHyphens w:val="true"/>
              <w:spacing w:before="60" w:after="60"/>
              <w:jc w:val="left"/>
              <w:rPr>
                <w:sz w:val="20"/>
                <w:szCs w:val="20"/>
              </w:rPr>
            </w:pPr>
            <w:r>
              <w:rPr>
                <w:kern w:val="0"/>
                <w:sz w:val="20"/>
                <w:szCs w:val="20"/>
                <w:lang w:eastAsia="en-US" w:bidi="ar-SA"/>
              </w:rPr>
              <w:t>Израда пројектно-техничке документације</w:t>
            </w:r>
          </w:p>
        </w:tc>
        <w:tc>
          <w:tcPr>
            <w:tcW w:w="947" w:type="dxa"/>
            <w:tcBorders/>
          </w:tcPr>
          <w:p>
            <w:pPr>
              <w:pStyle w:val="Normal"/>
              <w:widowControl w:val="false"/>
              <w:suppressAutoHyphens w:val="true"/>
              <w:spacing w:before="60" w:after="60"/>
              <w:rPr>
                <w:sz w:val="20"/>
                <w:szCs w:val="20"/>
              </w:rPr>
            </w:pPr>
            <w:r>
              <w:rPr>
                <w:kern w:val="0"/>
                <w:sz w:val="20"/>
                <w:szCs w:val="20"/>
                <w:lang w:eastAsia="en-US" w:bidi="ar-SA"/>
              </w:rPr>
              <w:t>ЈЛС</w:t>
            </w:r>
          </w:p>
        </w:tc>
        <w:tc>
          <w:tcPr>
            <w:tcW w:w="1044" w:type="dxa"/>
            <w:tcBorders/>
          </w:tcPr>
          <w:p>
            <w:pPr>
              <w:pStyle w:val="Normal"/>
              <w:widowControl w:val="false"/>
              <w:suppressAutoHyphens w:val="true"/>
              <w:spacing w:before="60" w:after="60"/>
              <w:rPr>
                <w:sz w:val="20"/>
                <w:szCs w:val="20"/>
              </w:rPr>
            </w:pPr>
            <w:r>
              <w:rPr>
                <w:sz w:val="20"/>
                <w:szCs w:val="20"/>
              </w:rPr>
            </w:r>
          </w:p>
        </w:tc>
        <w:tc>
          <w:tcPr>
            <w:tcW w:w="1262" w:type="dxa"/>
            <w:tcBorders/>
          </w:tcPr>
          <w:p>
            <w:pPr>
              <w:pStyle w:val="Normal"/>
              <w:widowControl w:val="false"/>
              <w:suppressAutoHyphens w:val="true"/>
              <w:spacing w:before="60" w:after="60"/>
              <w:rPr>
                <w:sz w:val="20"/>
                <w:szCs w:val="20"/>
              </w:rPr>
            </w:pPr>
            <w:r>
              <w:rPr>
                <w:kern w:val="0"/>
                <w:sz w:val="20"/>
                <w:szCs w:val="20"/>
                <w:lang w:eastAsia="en-US" w:bidi="ar-SA"/>
              </w:rPr>
              <w:t>2025-2027</w:t>
            </w:r>
          </w:p>
        </w:tc>
        <w:tc>
          <w:tcPr>
            <w:tcW w:w="1275" w:type="dxa"/>
            <w:tcBorders/>
          </w:tcPr>
          <w:p>
            <w:pPr>
              <w:pStyle w:val="Normal"/>
              <w:widowControl w:val="false"/>
              <w:suppressAutoHyphens w:val="true"/>
              <w:spacing w:before="60" w:after="60"/>
              <w:jc w:val="right"/>
              <w:rPr>
                <w:sz w:val="20"/>
                <w:szCs w:val="20"/>
              </w:rPr>
            </w:pPr>
            <w:r>
              <w:rPr>
                <w:kern w:val="0"/>
                <w:sz w:val="20"/>
                <w:szCs w:val="20"/>
                <w:lang w:eastAsia="en-US" w:bidi="ar-SA"/>
              </w:rPr>
              <w:t>2.500.000,00</w:t>
            </w:r>
          </w:p>
        </w:tc>
        <w:tc>
          <w:tcPr>
            <w:tcW w:w="1284" w:type="dxa"/>
            <w:tcBorders/>
          </w:tcPr>
          <w:p>
            <w:pPr>
              <w:pStyle w:val="Normal"/>
              <w:widowControl w:val="false"/>
              <w:suppressAutoHyphens w:val="true"/>
              <w:spacing w:before="60" w:after="60"/>
              <w:jc w:val="right"/>
              <w:rPr>
                <w:sz w:val="20"/>
                <w:szCs w:val="20"/>
                <w:lang w:val="sr-Latn-RS"/>
              </w:rPr>
            </w:pPr>
            <w:r>
              <w:rPr>
                <w:kern w:val="0"/>
                <w:sz w:val="20"/>
                <w:szCs w:val="20"/>
                <w:lang w:eastAsia="en-US" w:bidi="ar-SA"/>
              </w:rPr>
              <w:t>2025:</w:t>
            </w:r>
            <w:r>
              <w:rPr>
                <w:kern w:val="0"/>
                <w:sz w:val="20"/>
                <w:szCs w:val="20"/>
                <w:lang w:val="sr-Latn-RS" w:eastAsia="en-US" w:bidi="ar-SA"/>
              </w:rPr>
              <w:t xml:space="preserve"> 1.000.000,00</w:t>
            </w:r>
          </w:p>
          <w:p>
            <w:pPr>
              <w:pStyle w:val="Normal"/>
              <w:widowControl w:val="false"/>
              <w:suppressAutoHyphens w:val="true"/>
              <w:spacing w:before="60" w:after="60"/>
              <w:jc w:val="right"/>
              <w:rPr>
                <w:sz w:val="20"/>
                <w:szCs w:val="20"/>
                <w:lang w:val="sr-Latn-RS"/>
              </w:rPr>
            </w:pPr>
            <w:r>
              <w:rPr>
                <w:kern w:val="0"/>
                <w:sz w:val="20"/>
                <w:szCs w:val="20"/>
                <w:lang w:eastAsia="en-US" w:bidi="ar-SA"/>
              </w:rPr>
              <w:t>2026:</w:t>
            </w:r>
            <w:r>
              <w:rPr>
                <w:kern w:val="0"/>
                <w:sz w:val="20"/>
                <w:szCs w:val="20"/>
                <w:lang w:val="sr-Latn-RS" w:eastAsia="en-US" w:bidi="ar-SA"/>
              </w:rPr>
              <w:t xml:space="preserve"> 1.000.000,00</w:t>
            </w:r>
          </w:p>
          <w:p>
            <w:pPr>
              <w:pStyle w:val="Normal"/>
              <w:widowControl w:val="false"/>
              <w:suppressAutoHyphens w:val="true"/>
              <w:spacing w:before="60" w:after="60"/>
              <w:jc w:val="right"/>
              <w:rPr>
                <w:sz w:val="20"/>
                <w:szCs w:val="20"/>
                <w:lang w:val="sr-Latn-RS"/>
              </w:rPr>
            </w:pPr>
            <w:r>
              <w:rPr>
                <w:kern w:val="0"/>
                <w:sz w:val="20"/>
                <w:szCs w:val="20"/>
                <w:lang w:eastAsia="en-US" w:bidi="ar-SA"/>
              </w:rPr>
              <w:t>2027:</w:t>
            </w:r>
            <w:r>
              <w:rPr>
                <w:kern w:val="0"/>
                <w:sz w:val="20"/>
                <w:szCs w:val="20"/>
                <w:lang w:val="sr-Latn-RS" w:eastAsia="en-US" w:bidi="ar-SA"/>
              </w:rPr>
              <w:t xml:space="preserve"> 500.000,00</w:t>
            </w:r>
          </w:p>
        </w:tc>
        <w:tc>
          <w:tcPr>
            <w:tcW w:w="1636"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Средсттва ЈЛС, АПВ, РС,</w:t>
            </w:r>
          </w:p>
          <w:p>
            <w:pPr>
              <w:pStyle w:val="Normal"/>
              <w:widowControl w:val="false"/>
              <w:suppressAutoHyphens w:val="true"/>
              <w:spacing w:before="60" w:after="60"/>
              <w:jc w:val="center"/>
              <w:rPr>
                <w:sz w:val="20"/>
                <w:szCs w:val="20"/>
              </w:rPr>
            </w:pPr>
            <w:r>
              <w:rPr>
                <w:kern w:val="0"/>
                <w:sz w:val="20"/>
                <w:szCs w:val="20"/>
                <w:lang w:eastAsia="en-US" w:bidi="ar-SA"/>
              </w:rPr>
              <w:t>Донаторска средства</w:t>
            </w:r>
          </w:p>
        </w:tc>
      </w:tr>
    </w:tbl>
    <w:p>
      <w:pPr>
        <w:pStyle w:val="Normal"/>
        <w:spacing w:before="200" w:after="0"/>
        <w:rPr/>
      </w:pPr>
      <w:r>
        <w:rPr/>
      </w:r>
    </w:p>
    <w:tbl>
      <w:tblPr>
        <w:tblStyle w:val="TableGrid"/>
        <w:tblW w:w="991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61"/>
        <w:gridCol w:w="1250"/>
        <w:gridCol w:w="1021"/>
        <w:gridCol w:w="1599"/>
        <w:gridCol w:w="1008"/>
        <w:gridCol w:w="301"/>
        <w:gridCol w:w="408"/>
        <w:gridCol w:w="263"/>
        <w:gridCol w:w="448"/>
        <w:gridCol w:w="641"/>
        <w:gridCol w:w="112"/>
        <w:gridCol w:w="1504"/>
      </w:tblGrid>
      <w:tr>
        <w:trPr>
          <w:trHeight w:val="906" w:hRule="atLeast"/>
        </w:trPr>
        <w:tc>
          <w:tcPr>
            <w:tcW w:w="1361" w:type="dxa"/>
            <w:tcBorders/>
            <w:shd w:color="auto" w:fill="E36C0A" w:themeFill="accent6" w:themeFillShade="bf" w:val="clear"/>
          </w:tcPr>
          <w:p>
            <w:pPr>
              <w:pStyle w:val="Normal"/>
              <w:widowControl w:val="false"/>
              <w:suppressAutoHyphens w:val="true"/>
              <w:spacing w:before="60" w:after="60"/>
              <w:rPr>
                <w:b/>
                <w:sz w:val="20"/>
                <w:szCs w:val="20"/>
              </w:rPr>
            </w:pPr>
            <w:r>
              <w:rPr>
                <w:b/>
                <w:kern w:val="0"/>
                <w:sz w:val="20"/>
                <w:szCs w:val="20"/>
                <w:lang w:eastAsia="en-US" w:bidi="ar-SA"/>
              </w:rPr>
              <w:t>МЕРА 1.3:</w:t>
            </w:r>
          </w:p>
        </w:tc>
        <w:tc>
          <w:tcPr>
            <w:tcW w:w="3870" w:type="dxa"/>
            <w:gridSpan w:val="3"/>
            <w:tcBorders/>
            <w:shd w:color="auto" w:fill="E36C0A" w:themeFill="accent6" w:themeFillShade="bf" w:val="clear"/>
          </w:tcPr>
          <w:p>
            <w:pPr>
              <w:pStyle w:val="Pasus1"/>
              <w:widowControl w:val="false"/>
              <w:suppressAutoHyphens w:val="true"/>
              <w:spacing w:before="80" w:after="80"/>
              <w:rPr>
                <w:rFonts w:ascii="Calibri" w:hAnsi="Calibri" w:cs="Calibri" w:asciiTheme="minorHAnsi" w:cstheme="minorHAnsi" w:hAnsiTheme="minorHAnsi"/>
                <w:szCs w:val="22"/>
                <w:lang w:val="sr-RS"/>
              </w:rPr>
            </w:pPr>
            <w:r>
              <w:rPr>
                <w:rFonts w:cs="Calibri" w:ascii="Calibri" w:hAnsi="Calibri" w:asciiTheme="minorHAnsi" w:cstheme="minorHAnsi" w:hAnsiTheme="minorHAnsi"/>
                <w:kern w:val="0"/>
                <w:sz w:val="20"/>
                <w:szCs w:val="20"/>
                <w:lang w:val="sr-RS" w:eastAsia="en-US" w:bidi="ar-SA"/>
              </w:rPr>
              <w:t>Обезбедити правну и техничку помоћ лицима ромске националности при решавању имовинско-правних односа у поступку озакоњења стамбених објеката</w:t>
            </w:r>
            <w:r>
              <w:rPr>
                <w:rFonts w:cs="Calibri" w:ascii="Calibri" w:hAnsi="Calibri" w:asciiTheme="minorHAnsi" w:cstheme="minorHAnsi" w:hAnsiTheme="minorHAnsi"/>
                <w:kern w:val="0"/>
                <w:sz w:val="22"/>
                <w:szCs w:val="22"/>
                <w:lang w:val="sr-RS" w:eastAsia="en-US" w:bidi="ar-SA"/>
              </w:rPr>
              <w:t>.</w:t>
            </w:r>
          </w:p>
        </w:tc>
        <w:tc>
          <w:tcPr>
            <w:tcW w:w="1980" w:type="dxa"/>
            <w:gridSpan w:val="4"/>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Тип мере:</w:t>
            </w:r>
          </w:p>
        </w:tc>
        <w:tc>
          <w:tcPr>
            <w:tcW w:w="2705" w:type="dxa"/>
            <w:gridSpan w:val="4"/>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Информативно едукативна</w:t>
            </w:r>
          </w:p>
        </w:tc>
      </w:tr>
      <w:tr>
        <w:trPr/>
        <w:tc>
          <w:tcPr>
            <w:tcW w:w="1361"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Носилац мере:</w:t>
            </w:r>
          </w:p>
        </w:tc>
        <w:tc>
          <w:tcPr>
            <w:tcW w:w="3870" w:type="dxa"/>
            <w:gridSpan w:val="3"/>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ЈЛС</w:t>
            </w:r>
          </w:p>
        </w:tc>
        <w:tc>
          <w:tcPr>
            <w:tcW w:w="1980" w:type="dxa"/>
            <w:gridSpan w:val="4"/>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Партнери:</w:t>
            </w:r>
          </w:p>
        </w:tc>
        <w:tc>
          <w:tcPr>
            <w:tcW w:w="2705" w:type="dxa"/>
            <w:gridSpan w:val="4"/>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ОЦД</w:t>
            </w:r>
          </w:p>
        </w:tc>
      </w:tr>
      <w:tr>
        <w:trPr/>
        <w:tc>
          <w:tcPr>
            <w:tcW w:w="1361"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Период спровођења:</w:t>
            </w:r>
          </w:p>
        </w:tc>
        <w:tc>
          <w:tcPr>
            <w:tcW w:w="1250"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2025-2027</w:t>
            </w:r>
          </w:p>
        </w:tc>
        <w:tc>
          <w:tcPr>
            <w:tcW w:w="4600" w:type="dxa"/>
            <w:gridSpan w:val="6"/>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Потребне измене прописа:</w:t>
            </w:r>
          </w:p>
        </w:tc>
        <w:tc>
          <w:tcPr>
            <w:tcW w:w="2705" w:type="dxa"/>
            <w:gridSpan w:val="4"/>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Не</w:t>
            </w:r>
          </w:p>
        </w:tc>
      </w:tr>
      <w:tr>
        <w:trPr/>
        <w:tc>
          <w:tcPr>
            <w:tcW w:w="1361" w:type="dxa"/>
            <w:tcBorders/>
            <w:shd w:color="auto" w:fill="FBD4B4" w:themeFill="accent6" w:themeFillTint="66" w:val="clear"/>
          </w:tcPr>
          <w:p>
            <w:pPr>
              <w:pStyle w:val="Normal"/>
              <w:widowControl w:val="false"/>
              <w:suppressAutoHyphens w:val="true"/>
              <w:spacing w:before="60" w:after="60"/>
              <w:jc w:val="left"/>
              <w:rPr>
                <w:sz w:val="20"/>
                <w:szCs w:val="20"/>
              </w:rPr>
            </w:pPr>
            <w:r>
              <w:rPr>
                <w:kern w:val="0"/>
                <w:sz w:val="20"/>
                <w:szCs w:val="20"/>
                <w:lang w:eastAsia="en-US" w:bidi="ar-SA"/>
              </w:rPr>
              <w:t>Укупно процењена финансијска средства за меру (РСД):</w:t>
            </w:r>
          </w:p>
        </w:tc>
        <w:tc>
          <w:tcPr>
            <w:tcW w:w="1250" w:type="dxa"/>
            <w:tcBorders/>
            <w:shd w:color="auto" w:fill="FBD4B4" w:themeFill="accent6" w:themeFillTint="66" w:val="clear"/>
          </w:tcPr>
          <w:p>
            <w:pPr>
              <w:pStyle w:val="Normal"/>
              <w:widowControl w:val="false"/>
              <w:suppressAutoHyphens w:val="true"/>
              <w:spacing w:before="60" w:after="60"/>
              <w:jc w:val="right"/>
              <w:rPr>
                <w:rStyle w:val="Style6"/>
                <w:sz w:val="20"/>
                <w:szCs w:val="20"/>
                <w:highlight w:val="cyan"/>
              </w:rPr>
            </w:pPr>
            <w:r>
              <w:rPr>
                <w:kern w:val="0"/>
                <w:sz w:val="22"/>
                <w:szCs w:val="22"/>
                <w:lang w:eastAsia="en-US" w:bidi="ar-SA"/>
              </w:rPr>
              <w:t>390.000,00</w:t>
            </w:r>
          </w:p>
        </w:tc>
        <w:tc>
          <w:tcPr>
            <w:tcW w:w="2620" w:type="dxa"/>
            <w:gridSpan w:val="2"/>
            <w:tcBorders/>
            <w:shd w:color="auto" w:fill="FBD4B4" w:themeFill="accent6" w:themeFillTint="66" w:val="clear"/>
          </w:tcPr>
          <w:p>
            <w:pPr>
              <w:pStyle w:val="Normal"/>
              <w:widowControl w:val="false"/>
              <w:suppressAutoHyphens w:val="true"/>
              <w:spacing w:before="60" w:after="60"/>
              <w:jc w:val="left"/>
              <w:rPr>
                <w:rStyle w:val="Style6"/>
                <w:sz w:val="20"/>
                <w:szCs w:val="20"/>
              </w:rPr>
            </w:pPr>
            <w:r>
              <w:rPr>
                <w:kern w:val="0"/>
                <w:sz w:val="20"/>
                <w:szCs w:val="20"/>
                <w:lang w:eastAsia="en-US" w:bidi="ar-SA"/>
              </w:rPr>
              <w:t>Вредности фин. средстава по годинама (РСД):</w:t>
            </w:r>
          </w:p>
        </w:tc>
        <w:tc>
          <w:tcPr>
            <w:tcW w:w="1309" w:type="dxa"/>
            <w:gridSpan w:val="2"/>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2025:</w:t>
            </w:r>
          </w:p>
          <w:p>
            <w:pPr>
              <w:pStyle w:val="Normal"/>
              <w:widowControl w:val="false"/>
              <w:suppressAutoHyphens w:val="true"/>
              <w:spacing w:before="60" w:after="60"/>
              <w:jc w:val="right"/>
              <w:rPr>
                <w:sz w:val="20"/>
                <w:szCs w:val="20"/>
              </w:rPr>
            </w:pPr>
            <w:r>
              <w:rPr>
                <w:kern w:val="0"/>
                <w:sz w:val="22"/>
                <w:szCs w:val="22"/>
                <w:lang w:eastAsia="en-US" w:bidi="ar-SA"/>
              </w:rPr>
              <w:t>2026:</w:t>
            </w:r>
          </w:p>
          <w:p>
            <w:pPr>
              <w:pStyle w:val="Normal"/>
              <w:widowControl w:val="false"/>
              <w:suppressAutoHyphens w:val="true"/>
              <w:spacing w:before="60" w:after="60"/>
              <w:jc w:val="right"/>
              <w:rPr>
                <w:sz w:val="20"/>
                <w:szCs w:val="20"/>
              </w:rPr>
            </w:pPr>
            <w:r>
              <w:rPr>
                <w:kern w:val="0"/>
                <w:sz w:val="20"/>
                <w:szCs w:val="20"/>
                <w:lang w:eastAsia="en-US" w:bidi="ar-SA"/>
              </w:rPr>
              <w:t>2027:</w:t>
            </w:r>
          </w:p>
          <w:p>
            <w:pPr>
              <w:pStyle w:val="Normal"/>
              <w:widowControl w:val="false"/>
              <w:suppressAutoHyphens w:val="true"/>
              <w:spacing w:before="60" w:after="60"/>
              <w:jc w:val="right"/>
              <w:rPr>
                <w:rStyle w:val="Style6"/>
                <w:sz w:val="20"/>
                <w:szCs w:val="20"/>
              </w:rPr>
            </w:pPr>
            <w:r>
              <w:rPr>
                <w:sz w:val="20"/>
                <w:szCs w:val="20"/>
              </w:rPr>
            </w:r>
          </w:p>
        </w:tc>
        <w:tc>
          <w:tcPr>
            <w:tcW w:w="1760" w:type="dxa"/>
            <w:gridSpan w:val="4"/>
            <w:tcBorders/>
            <w:shd w:color="auto" w:fill="FBD4B4" w:themeFill="accent6" w:themeFillTint="66" w:val="clea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средстава по изворима финансир.:</w:t>
            </w:r>
          </w:p>
        </w:tc>
        <w:tc>
          <w:tcPr>
            <w:tcW w:w="1616" w:type="dxa"/>
            <w:gridSpan w:val="2"/>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ЈЛС:  90.000,00</w:t>
            </w:r>
          </w:p>
          <w:p>
            <w:pPr>
              <w:pStyle w:val="Normal"/>
              <w:widowControl w:val="false"/>
              <w:suppressAutoHyphens w:val="true"/>
              <w:spacing w:before="60" w:after="60"/>
              <w:rPr>
                <w:rStyle w:val="Style6"/>
                <w:sz w:val="20"/>
                <w:szCs w:val="20"/>
              </w:rPr>
            </w:pPr>
            <w:r>
              <w:rPr>
                <w:kern w:val="0"/>
                <w:sz w:val="20"/>
                <w:szCs w:val="20"/>
                <w:lang w:eastAsia="en-US" w:bidi="ar-SA"/>
              </w:rPr>
              <w:t>Донатори: 3</w:t>
            </w:r>
            <w:r>
              <w:rPr>
                <w:kern w:val="0"/>
                <w:sz w:val="20"/>
                <w:szCs w:val="20"/>
                <w:lang w:val="sr-Latn-RS" w:eastAsia="en-US" w:bidi="ar-SA"/>
              </w:rPr>
              <w:t>2</w:t>
            </w:r>
            <w:r>
              <w:rPr>
                <w:kern w:val="0"/>
                <w:sz w:val="20"/>
                <w:szCs w:val="20"/>
                <w:lang w:eastAsia="en-US" w:bidi="ar-SA"/>
              </w:rPr>
              <w:t>0.000,00</w:t>
            </w:r>
          </w:p>
        </w:tc>
      </w:tr>
      <w:tr>
        <w:trPr/>
        <w:tc>
          <w:tcPr>
            <w:tcW w:w="2611" w:type="dxa"/>
            <w:gridSpan w:val="2"/>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Показатељи на нивоу мере (показатељи резултата)</w:t>
            </w:r>
          </w:p>
        </w:tc>
        <w:tc>
          <w:tcPr>
            <w:tcW w:w="1021"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Јединица мере</w:t>
            </w:r>
          </w:p>
        </w:tc>
        <w:tc>
          <w:tcPr>
            <w:tcW w:w="1599"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година</w:t>
            </w:r>
          </w:p>
        </w:tc>
        <w:tc>
          <w:tcPr>
            <w:tcW w:w="1008"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вредност</w:t>
            </w:r>
          </w:p>
        </w:tc>
        <w:tc>
          <w:tcPr>
            <w:tcW w:w="2173" w:type="dxa"/>
            <w:gridSpan w:val="6"/>
            <w:tcBorders/>
            <w:shd w:color="auto" w:fill="E36C0A" w:themeFill="accent6" w:themeFillShade="bf"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Циљне вредности</w:t>
            </w:r>
          </w:p>
        </w:tc>
        <w:tc>
          <w:tcPr>
            <w:tcW w:w="1504"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Извор провере</w:t>
            </w:r>
          </w:p>
        </w:tc>
      </w:tr>
      <w:tr>
        <w:trPr/>
        <w:tc>
          <w:tcPr>
            <w:tcW w:w="2611" w:type="dxa"/>
            <w:gridSpan w:val="2"/>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21"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599"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08"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709" w:type="dxa"/>
            <w:gridSpan w:val="2"/>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2025.</w:t>
            </w:r>
          </w:p>
        </w:tc>
        <w:tc>
          <w:tcPr>
            <w:tcW w:w="711" w:type="dxa"/>
            <w:gridSpan w:val="2"/>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2026.</w:t>
            </w:r>
          </w:p>
        </w:tc>
        <w:tc>
          <w:tcPr>
            <w:tcW w:w="753" w:type="dxa"/>
            <w:gridSpan w:val="2"/>
            <w:tcBorders/>
            <w:shd w:color="auto" w:fill="FABF8F" w:themeFill="accent6" w:themeFillTint="99" w:val="clear"/>
          </w:tcPr>
          <w:p>
            <w:pPr>
              <w:pStyle w:val="Normal"/>
              <w:widowControl w:val="false"/>
              <w:suppressAutoHyphens w:val="true"/>
              <w:spacing w:before="60" w:after="60"/>
              <w:jc w:val="center"/>
              <w:rPr>
                <w:rStyle w:val="Style6"/>
                <w:sz w:val="20"/>
                <w:szCs w:val="20"/>
              </w:rPr>
            </w:pPr>
            <w:r>
              <w:rPr>
                <w:kern w:val="0"/>
                <w:sz w:val="20"/>
                <w:szCs w:val="20"/>
                <w:lang w:eastAsia="en-US" w:bidi="ar-SA"/>
              </w:rPr>
              <w:t>2027</w:t>
            </w:r>
          </w:p>
        </w:tc>
        <w:tc>
          <w:tcPr>
            <w:tcW w:w="1504"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r>
      <w:tr>
        <w:trPr/>
        <w:tc>
          <w:tcPr>
            <w:tcW w:w="2611" w:type="dxa"/>
            <w:gridSpan w:val="2"/>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Број информисаних лица ромске националности о доступној бесплатној правној и техничкој помоћи у поступку озакоњења стамбених објеката</w:t>
            </w:r>
          </w:p>
        </w:tc>
        <w:tc>
          <w:tcPr>
            <w:tcW w:w="102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Број</w:t>
            </w:r>
          </w:p>
        </w:tc>
        <w:tc>
          <w:tcPr>
            <w:tcW w:w="1599"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2024</w:t>
            </w:r>
          </w:p>
        </w:tc>
        <w:tc>
          <w:tcPr>
            <w:tcW w:w="1008"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w:t>
            </w:r>
          </w:p>
        </w:tc>
        <w:tc>
          <w:tcPr>
            <w:tcW w:w="709" w:type="dxa"/>
            <w:gridSpan w:val="2"/>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100</w:t>
            </w:r>
          </w:p>
        </w:tc>
        <w:tc>
          <w:tcPr>
            <w:tcW w:w="711" w:type="dxa"/>
            <w:gridSpan w:val="2"/>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100</w:t>
            </w:r>
          </w:p>
        </w:tc>
        <w:tc>
          <w:tcPr>
            <w:tcW w:w="753"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100</w:t>
            </w:r>
          </w:p>
        </w:tc>
        <w:tc>
          <w:tcPr>
            <w:tcW w:w="1504"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о спровођењу ЛАП-а</w:t>
            </w:r>
          </w:p>
        </w:tc>
      </w:tr>
      <w:tr>
        <w:trPr/>
        <w:tc>
          <w:tcPr>
            <w:tcW w:w="2611"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Број лица ромске националности којима је пружане помоћ при решавању имовинско-правних односа</w:t>
            </w:r>
          </w:p>
        </w:tc>
        <w:tc>
          <w:tcPr>
            <w:tcW w:w="1021" w:type="dxa"/>
            <w:tcBorders/>
          </w:tcPr>
          <w:p>
            <w:pPr>
              <w:pStyle w:val="Normal"/>
              <w:widowControl w:val="false"/>
              <w:suppressAutoHyphens w:val="true"/>
              <w:spacing w:before="60" w:after="60"/>
              <w:jc w:val="center"/>
              <w:rPr>
                <w:sz w:val="20"/>
                <w:szCs w:val="20"/>
              </w:rPr>
            </w:pPr>
            <w:r>
              <w:rPr>
                <w:kern w:val="0"/>
                <w:sz w:val="20"/>
                <w:szCs w:val="20"/>
                <w:lang w:eastAsia="en-US" w:bidi="ar-SA"/>
              </w:rPr>
              <w:t>Број</w:t>
            </w:r>
          </w:p>
        </w:tc>
        <w:tc>
          <w:tcPr>
            <w:tcW w:w="1599" w:type="dxa"/>
            <w:tcBorders/>
          </w:tcPr>
          <w:p>
            <w:pPr>
              <w:pStyle w:val="Normal"/>
              <w:widowControl w:val="false"/>
              <w:suppressAutoHyphens w:val="true"/>
              <w:spacing w:before="60" w:after="60"/>
              <w:jc w:val="center"/>
              <w:rPr>
                <w:sz w:val="20"/>
                <w:szCs w:val="20"/>
              </w:rPr>
            </w:pPr>
            <w:r>
              <w:rPr>
                <w:kern w:val="0"/>
                <w:sz w:val="20"/>
                <w:szCs w:val="20"/>
                <w:lang w:eastAsia="en-US" w:bidi="ar-SA"/>
              </w:rPr>
              <w:t>2024</w:t>
            </w:r>
          </w:p>
        </w:tc>
        <w:tc>
          <w:tcPr>
            <w:tcW w:w="1008" w:type="dxa"/>
            <w:tcBorders/>
          </w:tcPr>
          <w:p>
            <w:pPr>
              <w:pStyle w:val="Normal"/>
              <w:widowControl w:val="false"/>
              <w:suppressAutoHyphens w:val="true"/>
              <w:spacing w:before="60" w:after="60"/>
              <w:jc w:val="center"/>
              <w:rPr>
                <w:sz w:val="20"/>
                <w:szCs w:val="20"/>
              </w:rPr>
            </w:pPr>
            <w:r>
              <w:rPr>
                <w:sz w:val="20"/>
                <w:szCs w:val="20"/>
              </w:rPr>
            </w:r>
          </w:p>
        </w:tc>
        <w:tc>
          <w:tcPr>
            <w:tcW w:w="709" w:type="dxa"/>
            <w:gridSpan w:val="2"/>
            <w:tcBorders/>
          </w:tcPr>
          <w:p>
            <w:pPr>
              <w:pStyle w:val="Normal"/>
              <w:widowControl w:val="false"/>
              <w:suppressAutoHyphens w:val="true"/>
              <w:spacing w:before="60" w:after="60"/>
              <w:jc w:val="center"/>
              <w:rPr>
                <w:sz w:val="20"/>
                <w:szCs w:val="20"/>
              </w:rPr>
            </w:pPr>
            <w:r>
              <w:rPr>
                <w:kern w:val="0"/>
                <w:sz w:val="20"/>
                <w:szCs w:val="20"/>
                <w:lang w:eastAsia="en-US" w:bidi="ar-SA"/>
              </w:rPr>
              <w:t>20</w:t>
            </w:r>
          </w:p>
        </w:tc>
        <w:tc>
          <w:tcPr>
            <w:tcW w:w="711" w:type="dxa"/>
            <w:gridSpan w:val="2"/>
            <w:tcBorders/>
          </w:tcPr>
          <w:p>
            <w:pPr>
              <w:pStyle w:val="Normal"/>
              <w:widowControl w:val="false"/>
              <w:suppressAutoHyphens w:val="true"/>
              <w:spacing w:before="60" w:after="60"/>
              <w:jc w:val="center"/>
              <w:rPr>
                <w:sz w:val="20"/>
                <w:szCs w:val="20"/>
              </w:rPr>
            </w:pPr>
            <w:r>
              <w:rPr>
                <w:kern w:val="0"/>
                <w:sz w:val="20"/>
                <w:szCs w:val="20"/>
                <w:lang w:eastAsia="en-US" w:bidi="ar-SA"/>
              </w:rPr>
              <w:t>20</w:t>
            </w:r>
          </w:p>
        </w:tc>
        <w:tc>
          <w:tcPr>
            <w:tcW w:w="753"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20</w:t>
            </w:r>
          </w:p>
        </w:tc>
        <w:tc>
          <w:tcPr>
            <w:tcW w:w="1504" w:type="dxa"/>
            <w:tcBorders/>
          </w:tcPr>
          <w:p>
            <w:pPr>
              <w:pStyle w:val="Normal"/>
              <w:widowControl w:val="false"/>
              <w:suppressAutoHyphens w:val="true"/>
              <w:spacing w:before="60" w:after="60"/>
              <w:jc w:val="left"/>
              <w:rPr>
                <w:sz w:val="20"/>
                <w:szCs w:val="20"/>
              </w:rPr>
            </w:pPr>
            <w:r>
              <w:rPr>
                <w:kern w:val="0"/>
                <w:sz w:val="20"/>
                <w:szCs w:val="20"/>
                <w:lang w:eastAsia="en-US" w:bidi="ar-SA"/>
              </w:rPr>
              <w:t>Извештај о спровођењу ЛАП-а</w:t>
            </w:r>
          </w:p>
        </w:tc>
      </w:tr>
    </w:tbl>
    <w:p>
      <w:pPr>
        <w:pStyle w:val="Normal"/>
        <w:spacing w:before="240" w:after="0"/>
        <w:rPr/>
      </w:pPr>
      <w:r>
        <w:rPr/>
      </w:r>
    </w:p>
    <w:tbl>
      <w:tblPr>
        <w:tblStyle w:val="TableGrid"/>
        <w:tblW w:w="988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25"/>
        <w:gridCol w:w="1527"/>
        <w:gridCol w:w="945"/>
        <w:gridCol w:w="1039"/>
        <w:gridCol w:w="1267"/>
        <w:gridCol w:w="1337"/>
        <w:gridCol w:w="1735"/>
        <w:gridCol w:w="1209"/>
      </w:tblGrid>
      <w:tr>
        <w:trPr/>
        <w:tc>
          <w:tcPr>
            <w:tcW w:w="825"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Ознака</w:t>
            </w:r>
          </w:p>
        </w:tc>
        <w:tc>
          <w:tcPr>
            <w:tcW w:w="1527"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Назив активности</w:t>
            </w:r>
          </w:p>
        </w:tc>
        <w:tc>
          <w:tcPr>
            <w:tcW w:w="945"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Носилац</w:t>
            </w:r>
          </w:p>
        </w:tc>
        <w:tc>
          <w:tcPr>
            <w:tcW w:w="1039"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Партнери</w:t>
            </w:r>
          </w:p>
        </w:tc>
        <w:tc>
          <w:tcPr>
            <w:tcW w:w="1267"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Рок за реализацију</w:t>
            </w:r>
          </w:p>
        </w:tc>
        <w:tc>
          <w:tcPr>
            <w:tcW w:w="1337"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Укупно потребна фин. средства (РСД)</w:t>
            </w:r>
          </w:p>
        </w:tc>
        <w:tc>
          <w:tcPr>
            <w:tcW w:w="1735"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годинама (РСД)</w:t>
            </w:r>
          </w:p>
        </w:tc>
        <w:tc>
          <w:tcPr>
            <w:tcW w:w="1209"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изворима (РСД)</w:t>
            </w:r>
          </w:p>
        </w:tc>
      </w:tr>
      <w:tr>
        <w:trPr/>
        <w:tc>
          <w:tcPr>
            <w:tcW w:w="825" w:type="dxa"/>
            <w:tcBorders/>
          </w:tcPr>
          <w:p>
            <w:pPr>
              <w:pStyle w:val="Normal"/>
              <w:widowControl w:val="false"/>
              <w:suppressAutoHyphens w:val="true"/>
              <w:spacing w:before="60" w:after="60"/>
              <w:jc w:val="left"/>
              <w:rPr>
                <w:sz w:val="20"/>
                <w:szCs w:val="20"/>
              </w:rPr>
            </w:pPr>
            <w:r>
              <w:rPr>
                <w:kern w:val="0"/>
                <w:sz w:val="20"/>
                <w:szCs w:val="20"/>
                <w:lang w:eastAsia="en-US" w:bidi="ar-SA"/>
              </w:rPr>
              <w:t>1.3.1</w:t>
            </w:r>
          </w:p>
        </w:tc>
        <w:tc>
          <w:tcPr>
            <w:tcW w:w="1527" w:type="dxa"/>
            <w:tcBorders/>
            <w:vAlign w:val="center"/>
          </w:tcPr>
          <w:p>
            <w:pPr>
              <w:pStyle w:val="Normal"/>
              <w:widowControl w:val="false"/>
              <w:suppressAutoHyphens w:val="true"/>
              <w:spacing w:before="60" w:after="60"/>
              <w:jc w:val="left"/>
              <w:rPr>
                <w:sz w:val="20"/>
                <w:szCs w:val="20"/>
              </w:rPr>
            </w:pPr>
            <w:r>
              <w:rPr>
                <w:kern w:val="0"/>
                <w:sz w:val="20"/>
                <w:szCs w:val="20"/>
                <w:lang w:eastAsia="en-US" w:bidi="ar-SA"/>
              </w:rPr>
              <w:t>Израда и штампа упутства за озакоњење стамбених објеката где живе Роми</w:t>
            </w:r>
          </w:p>
        </w:tc>
        <w:tc>
          <w:tcPr>
            <w:tcW w:w="945" w:type="dxa"/>
            <w:tcBorders/>
            <w:vAlign w:val="center"/>
          </w:tcPr>
          <w:p>
            <w:pPr>
              <w:pStyle w:val="Normal"/>
              <w:widowControl w:val="false"/>
              <w:suppressAutoHyphens w:val="true"/>
              <w:spacing w:before="60" w:after="60"/>
              <w:rPr>
                <w:sz w:val="20"/>
                <w:szCs w:val="20"/>
              </w:rPr>
            </w:pPr>
            <w:r>
              <w:rPr>
                <w:kern w:val="0"/>
                <w:sz w:val="20"/>
                <w:szCs w:val="20"/>
                <w:lang w:eastAsia="en-US" w:bidi="ar-SA"/>
              </w:rPr>
              <w:t>ЈЛС</w:t>
            </w:r>
          </w:p>
        </w:tc>
        <w:tc>
          <w:tcPr>
            <w:tcW w:w="1039" w:type="dxa"/>
            <w:tcBorders/>
            <w:vAlign w:val="center"/>
          </w:tcPr>
          <w:p>
            <w:pPr>
              <w:pStyle w:val="Normal"/>
              <w:widowControl w:val="false"/>
              <w:suppressAutoHyphens w:val="true"/>
              <w:spacing w:before="60" w:after="60"/>
              <w:rPr>
                <w:sz w:val="20"/>
                <w:szCs w:val="20"/>
              </w:rPr>
            </w:pPr>
            <w:r>
              <w:rPr>
                <w:kern w:val="0"/>
                <w:sz w:val="20"/>
                <w:szCs w:val="20"/>
                <w:lang w:eastAsia="en-US" w:bidi="ar-SA"/>
              </w:rPr>
              <w:t>ОЦД</w:t>
            </w:r>
          </w:p>
        </w:tc>
        <w:tc>
          <w:tcPr>
            <w:tcW w:w="1267" w:type="dxa"/>
            <w:tcBorders/>
            <w:vAlign w:val="center"/>
          </w:tcPr>
          <w:p>
            <w:pPr>
              <w:pStyle w:val="Normal"/>
              <w:widowControl w:val="false"/>
              <w:suppressAutoHyphens w:val="true"/>
              <w:spacing w:before="60" w:after="60"/>
              <w:rPr>
                <w:sz w:val="20"/>
                <w:szCs w:val="20"/>
              </w:rPr>
            </w:pPr>
            <w:r>
              <w:rPr>
                <w:kern w:val="0"/>
                <w:sz w:val="20"/>
                <w:szCs w:val="20"/>
                <w:lang w:eastAsia="en-US" w:bidi="ar-SA"/>
              </w:rPr>
              <w:t>2025-2027</w:t>
            </w:r>
          </w:p>
        </w:tc>
        <w:tc>
          <w:tcPr>
            <w:tcW w:w="1337" w:type="dxa"/>
            <w:tcBorders/>
            <w:vAlign w:val="center"/>
          </w:tcPr>
          <w:p>
            <w:pPr>
              <w:pStyle w:val="Normal"/>
              <w:widowControl w:val="false"/>
              <w:suppressAutoHyphens w:val="true"/>
              <w:spacing w:before="60" w:after="60"/>
              <w:jc w:val="right"/>
              <w:rPr>
                <w:sz w:val="20"/>
                <w:szCs w:val="20"/>
              </w:rPr>
            </w:pPr>
            <w:r>
              <w:rPr>
                <w:kern w:val="0"/>
                <w:sz w:val="20"/>
                <w:szCs w:val="20"/>
                <w:lang w:eastAsia="en-US" w:bidi="ar-SA"/>
              </w:rPr>
              <w:t>30.000,00</w:t>
            </w:r>
          </w:p>
        </w:tc>
        <w:tc>
          <w:tcPr>
            <w:tcW w:w="1735" w:type="dxa"/>
            <w:tcBorders/>
            <w:vAlign w:val="center"/>
          </w:tcPr>
          <w:p>
            <w:pPr>
              <w:pStyle w:val="Normal"/>
              <w:widowControl w:val="false"/>
              <w:suppressAutoHyphens w:val="true"/>
              <w:spacing w:before="60" w:after="60"/>
              <w:rPr>
                <w:sz w:val="20"/>
                <w:szCs w:val="20"/>
              </w:rPr>
            </w:pPr>
            <w:r>
              <w:rPr>
                <w:kern w:val="0"/>
                <w:sz w:val="20"/>
                <w:szCs w:val="20"/>
                <w:lang w:eastAsia="en-US" w:bidi="ar-SA"/>
              </w:rPr>
              <w:t>2025: 15.000,00</w:t>
            </w:r>
          </w:p>
          <w:p>
            <w:pPr>
              <w:pStyle w:val="Normal"/>
              <w:widowControl w:val="false"/>
              <w:suppressAutoHyphens w:val="true"/>
              <w:spacing w:before="60" w:after="60"/>
              <w:rPr>
                <w:sz w:val="20"/>
                <w:szCs w:val="20"/>
              </w:rPr>
            </w:pPr>
            <w:r>
              <w:rPr>
                <w:kern w:val="0"/>
                <w:sz w:val="20"/>
                <w:szCs w:val="20"/>
                <w:lang w:eastAsia="en-US" w:bidi="ar-SA"/>
              </w:rPr>
              <w:t>2026: 15.000,00</w:t>
            </w:r>
          </w:p>
        </w:tc>
        <w:tc>
          <w:tcPr>
            <w:tcW w:w="1209" w:type="dxa"/>
            <w:tcBorders/>
            <w:vAlign w:val="center"/>
          </w:tcPr>
          <w:p>
            <w:pPr>
              <w:pStyle w:val="Normal"/>
              <w:widowControl w:val="false"/>
              <w:suppressAutoHyphens w:val="true"/>
              <w:spacing w:before="60" w:after="60"/>
              <w:jc w:val="right"/>
              <w:rPr>
                <w:sz w:val="20"/>
                <w:szCs w:val="20"/>
              </w:rPr>
            </w:pPr>
            <w:r>
              <w:rPr>
                <w:sz w:val="20"/>
                <w:szCs w:val="20"/>
              </w:rPr>
            </w:r>
          </w:p>
          <w:p>
            <w:pPr>
              <w:pStyle w:val="Normal"/>
              <w:widowControl w:val="false"/>
              <w:suppressAutoHyphens w:val="true"/>
              <w:spacing w:before="60" w:after="60"/>
              <w:jc w:val="right"/>
              <w:rPr>
                <w:sz w:val="20"/>
                <w:szCs w:val="20"/>
              </w:rPr>
            </w:pPr>
            <w:r>
              <w:rPr>
                <w:kern w:val="0"/>
                <w:sz w:val="20"/>
                <w:szCs w:val="20"/>
                <w:lang w:eastAsia="en-US" w:bidi="ar-SA"/>
              </w:rPr>
              <w:t>Буџет ЈЛС</w:t>
            </w:r>
          </w:p>
        </w:tc>
      </w:tr>
      <w:tr>
        <w:trPr/>
        <w:tc>
          <w:tcPr>
            <w:tcW w:w="825" w:type="dxa"/>
            <w:tcBorders/>
          </w:tcPr>
          <w:p>
            <w:pPr>
              <w:pStyle w:val="Normal"/>
              <w:widowControl w:val="false"/>
              <w:suppressAutoHyphens w:val="true"/>
              <w:spacing w:before="60" w:after="60"/>
              <w:jc w:val="left"/>
              <w:rPr>
                <w:sz w:val="20"/>
                <w:szCs w:val="20"/>
              </w:rPr>
            </w:pPr>
            <w:r>
              <w:rPr>
                <w:kern w:val="0"/>
                <w:sz w:val="20"/>
                <w:szCs w:val="20"/>
                <w:lang w:eastAsia="en-US" w:bidi="ar-SA"/>
              </w:rPr>
              <w:t>1.3.2</w:t>
            </w:r>
          </w:p>
        </w:tc>
        <w:tc>
          <w:tcPr>
            <w:tcW w:w="1527" w:type="dxa"/>
            <w:tcBorders/>
            <w:vAlign w:val="center"/>
          </w:tcPr>
          <w:p>
            <w:pPr>
              <w:pStyle w:val="Normal"/>
              <w:widowControl w:val="false"/>
              <w:suppressAutoHyphens w:val="true"/>
              <w:spacing w:before="60" w:after="60"/>
              <w:jc w:val="left"/>
              <w:rPr>
                <w:sz w:val="20"/>
                <w:szCs w:val="20"/>
              </w:rPr>
            </w:pPr>
            <w:r>
              <w:rPr>
                <w:kern w:val="0"/>
                <w:sz w:val="20"/>
                <w:szCs w:val="20"/>
                <w:lang w:eastAsia="en-US" w:bidi="ar-SA"/>
              </w:rPr>
              <w:t>Информисање лица ромске националности о доступној бесплатној правној и техничкој помоћи у поступку озакоњења стамбених објеката</w:t>
            </w:r>
          </w:p>
        </w:tc>
        <w:tc>
          <w:tcPr>
            <w:tcW w:w="945" w:type="dxa"/>
            <w:tcBorders/>
            <w:vAlign w:val="center"/>
          </w:tcPr>
          <w:p>
            <w:pPr>
              <w:pStyle w:val="Normal"/>
              <w:widowControl w:val="false"/>
              <w:suppressAutoHyphens w:val="true"/>
              <w:spacing w:before="60" w:after="60"/>
              <w:rPr>
                <w:sz w:val="20"/>
                <w:szCs w:val="20"/>
              </w:rPr>
            </w:pPr>
            <w:r>
              <w:rPr>
                <w:kern w:val="0"/>
                <w:sz w:val="20"/>
                <w:szCs w:val="20"/>
                <w:lang w:eastAsia="en-US" w:bidi="ar-SA"/>
              </w:rPr>
              <w:t>ЈЛС</w:t>
            </w:r>
          </w:p>
          <w:p>
            <w:pPr>
              <w:pStyle w:val="Normal"/>
              <w:widowControl w:val="false"/>
              <w:suppressAutoHyphens w:val="true"/>
              <w:spacing w:before="60" w:after="60"/>
              <w:rPr>
                <w:sz w:val="20"/>
                <w:szCs w:val="20"/>
              </w:rPr>
            </w:pPr>
            <w:r>
              <w:rPr>
                <w:sz w:val="20"/>
                <w:szCs w:val="20"/>
              </w:rPr>
            </w:r>
          </w:p>
        </w:tc>
        <w:tc>
          <w:tcPr>
            <w:tcW w:w="1039" w:type="dxa"/>
            <w:tcBorders/>
            <w:vAlign w:val="center"/>
          </w:tcPr>
          <w:p>
            <w:pPr>
              <w:pStyle w:val="Normal"/>
              <w:widowControl w:val="false"/>
              <w:suppressAutoHyphens w:val="true"/>
              <w:spacing w:before="60" w:after="60"/>
              <w:rPr>
                <w:sz w:val="20"/>
                <w:szCs w:val="20"/>
              </w:rPr>
            </w:pPr>
            <w:r>
              <w:rPr>
                <w:kern w:val="0"/>
                <w:sz w:val="20"/>
                <w:szCs w:val="20"/>
                <w:lang w:eastAsia="en-US" w:bidi="ar-SA"/>
              </w:rPr>
              <w:t>ОЦД</w:t>
            </w:r>
          </w:p>
        </w:tc>
        <w:tc>
          <w:tcPr>
            <w:tcW w:w="1267" w:type="dxa"/>
            <w:tcBorders/>
            <w:vAlign w:val="center"/>
          </w:tcPr>
          <w:p>
            <w:pPr>
              <w:pStyle w:val="Normal"/>
              <w:widowControl w:val="false"/>
              <w:suppressAutoHyphens w:val="true"/>
              <w:spacing w:before="60" w:after="60"/>
              <w:rPr>
                <w:sz w:val="20"/>
                <w:szCs w:val="20"/>
              </w:rPr>
            </w:pPr>
            <w:r>
              <w:rPr>
                <w:kern w:val="0"/>
                <w:sz w:val="20"/>
                <w:szCs w:val="20"/>
                <w:lang w:eastAsia="en-US" w:bidi="ar-SA"/>
              </w:rPr>
              <w:t>2025-2027</w:t>
            </w:r>
          </w:p>
        </w:tc>
        <w:tc>
          <w:tcPr>
            <w:tcW w:w="1337" w:type="dxa"/>
            <w:tcBorders/>
            <w:vAlign w:val="center"/>
          </w:tcPr>
          <w:p>
            <w:pPr>
              <w:pStyle w:val="Normal"/>
              <w:widowControl w:val="false"/>
              <w:suppressAutoHyphens w:val="true"/>
              <w:spacing w:before="60" w:after="60"/>
              <w:jc w:val="right"/>
              <w:rPr>
                <w:sz w:val="20"/>
                <w:szCs w:val="20"/>
              </w:rPr>
            </w:pPr>
            <w:r>
              <w:rPr>
                <w:kern w:val="0"/>
                <w:sz w:val="20"/>
                <w:szCs w:val="20"/>
                <w:lang w:eastAsia="en-US" w:bidi="ar-SA"/>
              </w:rPr>
              <w:t>60.000,00</w:t>
            </w:r>
          </w:p>
        </w:tc>
        <w:tc>
          <w:tcPr>
            <w:tcW w:w="1735" w:type="dxa"/>
            <w:tcBorders/>
            <w:vAlign w:val="center"/>
          </w:tcPr>
          <w:p>
            <w:pPr>
              <w:pStyle w:val="Normal"/>
              <w:widowControl w:val="false"/>
              <w:suppressAutoHyphens w:val="true"/>
              <w:spacing w:before="60" w:after="60"/>
              <w:rPr>
                <w:sz w:val="20"/>
                <w:szCs w:val="20"/>
              </w:rPr>
            </w:pPr>
            <w:r>
              <w:rPr>
                <w:kern w:val="0"/>
                <w:sz w:val="20"/>
                <w:szCs w:val="20"/>
                <w:lang w:eastAsia="en-US" w:bidi="ar-SA"/>
              </w:rPr>
              <w:t>2025: 20.000,00</w:t>
            </w:r>
          </w:p>
          <w:p>
            <w:pPr>
              <w:pStyle w:val="Normal"/>
              <w:widowControl w:val="false"/>
              <w:suppressAutoHyphens w:val="true"/>
              <w:spacing w:before="60" w:after="60"/>
              <w:rPr>
                <w:sz w:val="20"/>
                <w:szCs w:val="20"/>
              </w:rPr>
            </w:pPr>
            <w:r>
              <w:rPr>
                <w:kern w:val="0"/>
                <w:sz w:val="20"/>
                <w:szCs w:val="20"/>
                <w:lang w:eastAsia="en-US" w:bidi="ar-SA"/>
              </w:rPr>
              <w:t>2026:20.00,00</w:t>
            </w:r>
          </w:p>
          <w:p>
            <w:pPr>
              <w:pStyle w:val="Normal"/>
              <w:widowControl w:val="false"/>
              <w:suppressAutoHyphens w:val="true"/>
              <w:spacing w:before="60" w:after="60"/>
              <w:rPr>
                <w:sz w:val="20"/>
                <w:szCs w:val="20"/>
              </w:rPr>
            </w:pPr>
            <w:r>
              <w:rPr>
                <w:kern w:val="0"/>
                <w:sz w:val="20"/>
                <w:szCs w:val="20"/>
                <w:lang w:eastAsia="en-US" w:bidi="ar-SA"/>
              </w:rPr>
              <w:t>2027:20.000,00</w:t>
            </w:r>
          </w:p>
        </w:tc>
        <w:tc>
          <w:tcPr>
            <w:tcW w:w="1209" w:type="dxa"/>
            <w:tcBorders/>
            <w:vAlign w:val="center"/>
          </w:tcPr>
          <w:p>
            <w:pPr>
              <w:pStyle w:val="Normal"/>
              <w:widowControl w:val="false"/>
              <w:suppressAutoHyphens w:val="true"/>
              <w:spacing w:before="60" w:after="60"/>
              <w:jc w:val="right"/>
              <w:rPr>
                <w:sz w:val="20"/>
                <w:szCs w:val="20"/>
              </w:rPr>
            </w:pPr>
            <w:r>
              <w:rPr>
                <w:kern w:val="0"/>
                <w:sz w:val="20"/>
                <w:szCs w:val="20"/>
                <w:lang w:eastAsia="en-US" w:bidi="ar-SA"/>
              </w:rPr>
              <w:t>Буџет ЈЛС</w:t>
            </w:r>
          </w:p>
        </w:tc>
      </w:tr>
      <w:tr>
        <w:trPr/>
        <w:tc>
          <w:tcPr>
            <w:tcW w:w="825" w:type="dxa"/>
            <w:tcBorders/>
          </w:tcPr>
          <w:p>
            <w:pPr>
              <w:pStyle w:val="Normal"/>
              <w:widowControl w:val="false"/>
              <w:suppressAutoHyphens w:val="true"/>
              <w:spacing w:before="60" w:after="60"/>
              <w:jc w:val="left"/>
              <w:rPr>
                <w:sz w:val="20"/>
                <w:szCs w:val="20"/>
              </w:rPr>
            </w:pPr>
            <w:r>
              <w:rPr>
                <w:kern w:val="0"/>
                <w:sz w:val="20"/>
                <w:szCs w:val="20"/>
                <w:lang w:eastAsia="en-US" w:bidi="ar-SA"/>
              </w:rPr>
              <w:t>1.3.3.</w:t>
            </w:r>
          </w:p>
        </w:tc>
        <w:tc>
          <w:tcPr>
            <w:tcW w:w="1527" w:type="dxa"/>
            <w:tcBorders/>
          </w:tcPr>
          <w:p>
            <w:pPr>
              <w:pStyle w:val="Normal"/>
              <w:widowControl w:val="false"/>
              <w:suppressAutoHyphens w:val="true"/>
              <w:spacing w:before="60" w:after="60"/>
              <w:jc w:val="left"/>
              <w:rPr>
                <w:sz w:val="20"/>
                <w:szCs w:val="20"/>
              </w:rPr>
            </w:pPr>
            <w:r>
              <w:rPr>
                <w:kern w:val="0"/>
                <w:sz w:val="20"/>
                <w:szCs w:val="20"/>
                <w:lang w:eastAsia="en-US" w:bidi="ar-SA"/>
              </w:rPr>
              <w:t>Пружање правне и техничке помоћи лицима ромске националности у поступку озакоњења стамбених објеката</w:t>
            </w:r>
          </w:p>
        </w:tc>
        <w:tc>
          <w:tcPr>
            <w:tcW w:w="945" w:type="dxa"/>
            <w:tcBorders/>
            <w:vAlign w:val="center"/>
          </w:tcPr>
          <w:p>
            <w:pPr>
              <w:pStyle w:val="Normal"/>
              <w:widowControl w:val="false"/>
              <w:suppressAutoHyphens w:val="true"/>
              <w:spacing w:before="60" w:after="60"/>
              <w:rPr>
                <w:sz w:val="20"/>
                <w:szCs w:val="20"/>
              </w:rPr>
            </w:pPr>
            <w:r>
              <w:rPr>
                <w:kern w:val="0"/>
                <w:sz w:val="20"/>
                <w:szCs w:val="20"/>
                <w:lang w:eastAsia="en-US" w:bidi="ar-SA"/>
              </w:rPr>
              <w:t>ЈЛС</w:t>
            </w:r>
          </w:p>
        </w:tc>
        <w:tc>
          <w:tcPr>
            <w:tcW w:w="1039" w:type="dxa"/>
            <w:tcBorders/>
            <w:vAlign w:val="center"/>
          </w:tcPr>
          <w:p>
            <w:pPr>
              <w:pStyle w:val="Normal"/>
              <w:widowControl w:val="false"/>
              <w:suppressAutoHyphens w:val="true"/>
              <w:spacing w:before="60" w:after="60"/>
              <w:jc w:val="left"/>
              <w:rPr>
                <w:sz w:val="20"/>
                <w:szCs w:val="20"/>
              </w:rPr>
            </w:pPr>
            <w:r>
              <w:rPr>
                <w:kern w:val="0"/>
                <w:sz w:val="20"/>
                <w:szCs w:val="20"/>
                <w:lang w:eastAsia="en-US" w:bidi="ar-SA"/>
              </w:rPr>
              <w:t>ОЦД</w:t>
            </w:r>
          </w:p>
        </w:tc>
        <w:tc>
          <w:tcPr>
            <w:tcW w:w="1267" w:type="dxa"/>
            <w:tcBorders/>
            <w:vAlign w:val="center"/>
          </w:tcPr>
          <w:p>
            <w:pPr>
              <w:pStyle w:val="Normal"/>
              <w:widowControl w:val="false"/>
              <w:suppressAutoHyphens w:val="true"/>
              <w:spacing w:before="60" w:after="60"/>
              <w:rPr>
                <w:sz w:val="20"/>
                <w:szCs w:val="20"/>
              </w:rPr>
            </w:pPr>
            <w:r>
              <w:rPr>
                <w:kern w:val="0"/>
                <w:sz w:val="20"/>
                <w:szCs w:val="20"/>
                <w:lang w:eastAsia="en-US" w:bidi="ar-SA"/>
              </w:rPr>
              <w:t>2025-2027</w:t>
            </w:r>
          </w:p>
        </w:tc>
        <w:tc>
          <w:tcPr>
            <w:tcW w:w="1337" w:type="dxa"/>
            <w:tcBorders/>
            <w:vAlign w:val="center"/>
          </w:tcPr>
          <w:p>
            <w:pPr>
              <w:pStyle w:val="Normal"/>
              <w:widowControl w:val="false"/>
              <w:suppressAutoHyphens w:val="true"/>
              <w:spacing w:before="60" w:after="60"/>
              <w:jc w:val="right"/>
              <w:rPr>
                <w:sz w:val="20"/>
                <w:szCs w:val="20"/>
              </w:rPr>
            </w:pPr>
            <w:r>
              <w:rPr>
                <w:kern w:val="0"/>
                <w:sz w:val="20"/>
                <w:szCs w:val="20"/>
                <w:lang w:eastAsia="en-US" w:bidi="ar-SA"/>
              </w:rPr>
              <w:t>300.000,00</w:t>
            </w:r>
          </w:p>
        </w:tc>
        <w:tc>
          <w:tcPr>
            <w:tcW w:w="1735" w:type="dxa"/>
            <w:tcBorders/>
            <w:vAlign w:val="center"/>
          </w:tcPr>
          <w:p>
            <w:pPr>
              <w:pStyle w:val="Normal"/>
              <w:widowControl w:val="false"/>
              <w:suppressAutoHyphens w:val="true"/>
              <w:spacing w:before="60" w:after="60"/>
              <w:jc w:val="right"/>
              <w:rPr>
                <w:sz w:val="20"/>
                <w:szCs w:val="20"/>
              </w:rPr>
            </w:pPr>
            <w:r>
              <w:rPr>
                <w:kern w:val="0"/>
                <w:sz w:val="20"/>
                <w:szCs w:val="20"/>
                <w:lang w:eastAsia="en-US" w:bidi="ar-SA"/>
              </w:rPr>
              <w:t>2025:100.000,00</w:t>
            </w:r>
          </w:p>
          <w:p>
            <w:pPr>
              <w:pStyle w:val="Normal"/>
              <w:widowControl w:val="false"/>
              <w:suppressAutoHyphens w:val="true"/>
              <w:spacing w:before="60" w:after="60"/>
              <w:jc w:val="right"/>
              <w:rPr>
                <w:sz w:val="20"/>
                <w:szCs w:val="20"/>
              </w:rPr>
            </w:pPr>
            <w:r>
              <w:rPr>
                <w:kern w:val="0"/>
                <w:sz w:val="20"/>
                <w:szCs w:val="20"/>
                <w:lang w:eastAsia="en-US" w:bidi="ar-SA"/>
              </w:rPr>
              <w:t>2026:100.000,00</w:t>
            </w:r>
          </w:p>
          <w:p>
            <w:pPr>
              <w:pStyle w:val="Normal"/>
              <w:widowControl w:val="false"/>
              <w:suppressAutoHyphens w:val="true"/>
              <w:spacing w:before="60" w:after="60"/>
              <w:jc w:val="right"/>
              <w:rPr>
                <w:sz w:val="20"/>
                <w:szCs w:val="20"/>
              </w:rPr>
            </w:pPr>
            <w:r>
              <w:rPr>
                <w:kern w:val="0"/>
                <w:sz w:val="20"/>
                <w:szCs w:val="20"/>
                <w:lang w:eastAsia="en-US" w:bidi="ar-SA"/>
              </w:rPr>
              <w:t>2027:100.000,00</w:t>
            </w:r>
          </w:p>
        </w:tc>
        <w:tc>
          <w:tcPr>
            <w:tcW w:w="1209" w:type="dxa"/>
            <w:tcBorders/>
            <w:vAlign w:val="center"/>
          </w:tcPr>
          <w:p>
            <w:pPr>
              <w:pStyle w:val="Normal"/>
              <w:widowControl w:val="false"/>
              <w:suppressAutoHyphens w:val="true"/>
              <w:spacing w:before="60" w:after="60"/>
              <w:jc w:val="right"/>
              <w:rPr>
                <w:sz w:val="20"/>
                <w:szCs w:val="20"/>
              </w:rPr>
            </w:pPr>
            <w:r>
              <w:rPr>
                <w:kern w:val="0"/>
                <w:sz w:val="20"/>
                <w:szCs w:val="20"/>
                <w:lang w:eastAsia="en-US" w:bidi="ar-SA"/>
              </w:rPr>
              <w:t>Донаторска средства</w:t>
            </w:r>
          </w:p>
        </w:tc>
      </w:tr>
    </w:tbl>
    <w:p>
      <w:pPr>
        <w:pStyle w:val="Normal"/>
        <w:spacing w:before="240" w:after="0"/>
        <w:rPr/>
      </w:pPr>
      <w:r>
        <w:rPr/>
      </w:r>
    </w:p>
    <w:p>
      <w:pPr>
        <w:pStyle w:val="Normal"/>
        <w:spacing w:before="240" w:after="0"/>
        <w:rPr/>
      </w:pPr>
      <w:r>
        <w:rPr/>
      </w:r>
    </w:p>
    <w:p>
      <w:pPr>
        <w:pStyle w:val="Normal"/>
        <w:spacing w:before="240" w:after="0"/>
        <w:rPr/>
      </w:pPr>
      <w:r>
        <w:rPr/>
      </w:r>
    </w:p>
    <w:p>
      <w:pPr>
        <w:pStyle w:val="Normal"/>
        <w:spacing w:before="240" w:after="0"/>
        <w:rPr/>
      </w:pPr>
      <w:r>
        <w:rPr/>
      </w:r>
    </w:p>
    <w:p>
      <w:pPr>
        <w:pStyle w:val="Normal"/>
        <w:spacing w:before="240" w:after="0"/>
        <w:rPr/>
      </w:pPr>
      <w:r>
        <w:rPr/>
      </w:r>
    </w:p>
    <w:p>
      <w:pPr>
        <w:pStyle w:val="Normal"/>
        <w:spacing w:before="240" w:after="0"/>
        <w:rPr/>
      </w:pPr>
      <w:r>
        <w:rPr/>
      </w:r>
    </w:p>
    <w:tbl>
      <w:tblPr>
        <w:tblStyle w:val="TableGrid"/>
        <w:tblW w:w="1007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343"/>
        <w:gridCol w:w="1502"/>
        <w:gridCol w:w="1021"/>
        <w:gridCol w:w="1510"/>
        <w:gridCol w:w="1151"/>
        <w:gridCol w:w="38"/>
        <w:gridCol w:w="654"/>
        <w:gridCol w:w="43"/>
        <w:gridCol w:w="641"/>
        <w:gridCol w:w="421"/>
        <w:gridCol w:w="375"/>
        <w:gridCol w:w="1360"/>
        <w:gridCol w:w="10"/>
      </w:tblGrid>
      <w:tr>
        <w:trPr/>
        <w:tc>
          <w:tcPr>
            <w:tcW w:w="1343" w:type="dxa"/>
            <w:tcBorders/>
            <w:shd w:color="auto" w:fill="E36C0A" w:themeFill="accent6" w:themeFillShade="bf" w:val="clear"/>
          </w:tcPr>
          <w:p>
            <w:pPr>
              <w:pStyle w:val="Normal"/>
              <w:widowControl w:val="false"/>
              <w:suppressAutoHyphens w:val="true"/>
              <w:spacing w:before="60" w:after="60"/>
              <w:rPr>
                <w:b/>
                <w:sz w:val="20"/>
                <w:szCs w:val="20"/>
              </w:rPr>
            </w:pPr>
            <w:r>
              <w:rPr>
                <w:b/>
                <w:kern w:val="0"/>
                <w:sz w:val="20"/>
                <w:szCs w:val="20"/>
                <w:lang w:eastAsia="en-US" w:bidi="ar-SA"/>
              </w:rPr>
              <w:t>МЕРА 1.4:</w:t>
            </w:r>
          </w:p>
        </w:tc>
        <w:tc>
          <w:tcPr>
            <w:tcW w:w="4033" w:type="dxa"/>
            <w:gridSpan w:val="3"/>
            <w:tcBorders/>
            <w:shd w:color="auto" w:fill="E36C0A" w:themeFill="accent6" w:themeFillShade="bf" w:val="clear"/>
          </w:tcPr>
          <w:p>
            <w:pPr>
              <w:pStyle w:val="Pasus1"/>
              <w:widowControl w:val="false"/>
              <w:suppressAutoHyphens w:val="true"/>
              <w:spacing w:before="80" w:after="80"/>
              <w:rPr>
                <w:rFonts w:ascii="Calibri" w:hAnsi="Calibri" w:cs="Calibri" w:asciiTheme="minorHAnsi" w:cstheme="minorHAnsi" w:hAnsiTheme="minorHAnsi"/>
                <w:sz w:val="20"/>
                <w:szCs w:val="20"/>
                <w:lang w:val="sr-RS"/>
              </w:rPr>
            </w:pPr>
            <w:r>
              <w:rPr>
                <w:rFonts w:cs="Calibri" w:ascii="Calibri" w:hAnsi="Calibri" w:asciiTheme="minorHAnsi" w:cstheme="minorHAnsi" w:hAnsiTheme="minorHAnsi"/>
                <w:kern w:val="0"/>
                <w:sz w:val="20"/>
                <w:szCs w:val="20"/>
                <w:lang w:val="sr-RS" w:eastAsia="en-US" w:bidi="ar-SA"/>
              </w:rPr>
              <w:t>Унапређење становања и инфраструктуре у деловима насеља где живе Роми.</w:t>
            </w:r>
          </w:p>
          <w:p>
            <w:pPr>
              <w:pStyle w:val="Normal"/>
              <w:widowControl w:val="false"/>
              <w:suppressAutoHyphens w:val="true"/>
              <w:spacing w:before="60" w:after="60"/>
              <w:rPr>
                <w:sz w:val="20"/>
                <w:szCs w:val="20"/>
              </w:rPr>
            </w:pPr>
            <w:r>
              <w:rPr>
                <w:sz w:val="20"/>
                <w:szCs w:val="20"/>
              </w:rPr>
            </w:r>
          </w:p>
        </w:tc>
        <w:tc>
          <w:tcPr>
            <w:tcW w:w="1886" w:type="dxa"/>
            <w:gridSpan w:val="4"/>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Тип мере:</w:t>
            </w:r>
          </w:p>
        </w:tc>
        <w:tc>
          <w:tcPr>
            <w:tcW w:w="2807" w:type="dxa"/>
            <w:gridSpan w:val="5"/>
            <w:tcBorders/>
            <w:shd w:color="auto" w:fill="E36C0A" w:themeFill="accent6" w:themeFillShade="bf" w:val="clear"/>
          </w:tcPr>
          <w:p>
            <w:pPr>
              <w:pStyle w:val="Normal"/>
              <w:widowControl w:val="false"/>
              <w:suppressAutoHyphens w:val="true"/>
              <w:spacing w:before="60" w:after="60"/>
              <w:rPr>
                <w:sz w:val="20"/>
                <w:szCs w:val="20"/>
              </w:rPr>
            </w:pPr>
            <w:r>
              <w:rPr>
                <w:kern w:val="0"/>
                <w:sz w:val="20"/>
                <w:szCs w:val="20"/>
                <w:lang w:eastAsia="en-US" w:bidi="ar-SA"/>
              </w:rPr>
              <w:t>Инфраструктурна</w:t>
            </w:r>
          </w:p>
        </w:tc>
      </w:tr>
      <w:tr>
        <w:trPr/>
        <w:tc>
          <w:tcPr>
            <w:tcW w:w="1343"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Носилац мере:</w:t>
            </w:r>
          </w:p>
        </w:tc>
        <w:tc>
          <w:tcPr>
            <w:tcW w:w="4033" w:type="dxa"/>
            <w:gridSpan w:val="3"/>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ЈЛС</w:t>
            </w:r>
          </w:p>
        </w:tc>
        <w:tc>
          <w:tcPr>
            <w:tcW w:w="1886" w:type="dxa"/>
            <w:gridSpan w:val="4"/>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Партнери:</w:t>
            </w:r>
          </w:p>
        </w:tc>
        <w:tc>
          <w:tcPr>
            <w:tcW w:w="2807" w:type="dxa"/>
            <w:gridSpan w:val="5"/>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ОЦД</w:t>
            </w:r>
          </w:p>
        </w:tc>
      </w:tr>
      <w:tr>
        <w:trPr/>
        <w:tc>
          <w:tcPr>
            <w:tcW w:w="1343"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Период спровођења:</w:t>
            </w:r>
          </w:p>
        </w:tc>
        <w:tc>
          <w:tcPr>
            <w:tcW w:w="1502" w:type="dxa"/>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2025-2027</w:t>
            </w:r>
          </w:p>
        </w:tc>
        <w:tc>
          <w:tcPr>
            <w:tcW w:w="4417" w:type="dxa"/>
            <w:gridSpan w:val="6"/>
            <w:tcBorders/>
            <w:shd w:color="auto" w:fill="FBD4B4" w:themeFill="accent6" w:themeFillTint="66" w:val="clear"/>
          </w:tcPr>
          <w:p>
            <w:pPr>
              <w:pStyle w:val="Normal"/>
              <w:widowControl w:val="false"/>
              <w:suppressAutoHyphens w:val="true"/>
              <w:spacing w:before="60" w:after="60"/>
              <w:jc w:val="right"/>
              <w:rPr>
                <w:sz w:val="20"/>
                <w:szCs w:val="20"/>
              </w:rPr>
            </w:pPr>
            <w:r>
              <w:rPr>
                <w:kern w:val="0"/>
                <w:sz w:val="20"/>
                <w:szCs w:val="20"/>
                <w:lang w:eastAsia="en-US" w:bidi="ar-SA"/>
              </w:rPr>
              <w:t>Потребне измене прописа:</w:t>
            </w:r>
          </w:p>
        </w:tc>
        <w:tc>
          <w:tcPr>
            <w:tcW w:w="2807" w:type="dxa"/>
            <w:gridSpan w:val="5"/>
            <w:tcBorders/>
            <w:shd w:color="auto" w:fill="FBD4B4" w:themeFill="accent6" w:themeFillTint="66" w:val="clear"/>
          </w:tcPr>
          <w:p>
            <w:pPr>
              <w:pStyle w:val="Normal"/>
              <w:widowControl w:val="false"/>
              <w:suppressAutoHyphens w:val="true"/>
              <w:spacing w:before="60" w:after="60"/>
              <w:rPr>
                <w:sz w:val="20"/>
                <w:szCs w:val="20"/>
              </w:rPr>
            </w:pPr>
            <w:r>
              <w:rPr>
                <w:kern w:val="0"/>
                <w:sz w:val="20"/>
                <w:szCs w:val="20"/>
                <w:lang w:eastAsia="en-US" w:bidi="ar-SA"/>
              </w:rPr>
              <w:t>Не</w:t>
            </w:r>
          </w:p>
        </w:tc>
      </w:tr>
      <w:tr>
        <w:trPr/>
        <w:tc>
          <w:tcPr>
            <w:tcW w:w="1343" w:type="dxa"/>
            <w:tcBorders/>
            <w:shd w:color="auto" w:fill="FBD4B4" w:themeFill="accent6" w:themeFillTint="66" w:val="clear"/>
          </w:tcPr>
          <w:p>
            <w:pPr>
              <w:pStyle w:val="Normal"/>
              <w:widowControl w:val="false"/>
              <w:suppressAutoHyphens w:val="true"/>
              <w:spacing w:before="60" w:after="60"/>
              <w:jc w:val="left"/>
              <w:rPr>
                <w:sz w:val="20"/>
                <w:szCs w:val="20"/>
              </w:rPr>
            </w:pPr>
            <w:r>
              <w:rPr>
                <w:kern w:val="0"/>
                <w:sz w:val="20"/>
                <w:szCs w:val="20"/>
                <w:lang w:eastAsia="en-US" w:bidi="ar-SA"/>
              </w:rPr>
              <w:t>Укупно процењена финансијска средства за меру (РСД):</w:t>
            </w:r>
          </w:p>
        </w:tc>
        <w:tc>
          <w:tcPr>
            <w:tcW w:w="1502" w:type="dxa"/>
            <w:tcBorders/>
            <w:shd w:color="auto" w:fill="FBD4B4" w:themeFill="accent6" w:themeFillTint="66" w:val="clear"/>
          </w:tcPr>
          <w:p>
            <w:pPr>
              <w:pStyle w:val="Normal"/>
              <w:widowControl w:val="false"/>
              <w:suppressAutoHyphens w:val="true"/>
              <w:spacing w:before="60" w:after="60"/>
              <w:jc w:val="right"/>
              <w:rPr>
                <w:rStyle w:val="Style6"/>
                <w:sz w:val="20"/>
                <w:szCs w:val="20"/>
                <w:lang w:val="en-US"/>
              </w:rPr>
            </w:pPr>
            <w:r>
              <w:rPr>
                <w:kern w:val="0"/>
                <w:sz w:val="22"/>
                <w:szCs w:val="22"/>
                <w:lang w:val="en-US" w:eastAsia="en-US" w:bidi="ar-SA"/>
              </w:rPr>
              <w:t>2.600.000,000</w:t>
            </w:r>
          </w:p>
        </w:tc>
        <w:tc>
          <w:tcPr>
            <w:tcW w:w="2531" w:type="dxa"/>
            <w:gridSpan w:val="2"/>
            <w:tcBorders/>
            <w:shd w:color="auto" w:fill="FBD4B4" w:themeFill="accent6" w:themeFillTint="66" w:val="clear"/>
          </w:tcPr>
          <w:p>
            <w:pPr>
              <w:pStyle w:val="Normal"/>
              <w:widowControl w:val="false"/>
              <w:suppressAutoHyphens w:val="true"/>
              <w:spacing w:before="60" w:after="60"/>
              <w:jc w:val="left"/>
              <w:rPr>
                <w:rStyle w:val="Style6"/>
                <w:sz w:val="20"/>
                <w:szCs w:val="20"/>
              </w:rPr>
            </w:pPr>
            <w:r>
              <w:rPr>
                <w:kern w:val="0"/>
                <w:sz w:val="20"/>
                <w:szCs w:val="20"/>
                <w:lang w:eastAsia="en-US" w:bidi="ar-SA"/>
              </w:rPr>
              <w:t>Вредности фин. средстава по годинама (РСД):</w:t>
            </w:r>
          </w:p>
        </w:tc>
        <w:tc>
          <w:tcPr>
            <w:tcW w:w="1189" w:type="dxa"/>
            <w:gridSpan w:val="2"/>
            <w:tcBorders/>
            <w:shd w:color="auto" w:fill="FBD4B4" w:themeFill="accent6" w:themeFillTint="66" w:val="clear"/>
          </w:tcPr>
          <w:p>
            <w:pPr>
              <w:pStyle w:val="Normal"/>
              <w:widowControl w:val="false"/>
              <w:suppressAutoHyphens w:val="true"/>
              <w:spacing w:before="60" w:after="60"/>
              <w:jc w:val="right"/>
              <w:rPr>
                <w:sz w:val="20"/>
                <w:szCs w:val="20"/>
                <w:lang w:val="en-US"/>
              </w:rPr>
            </w:pPr>
            <w:r>
              <w:rPr>
                <w:kern w:val="0"/>
                <w:sz w:val="20"/>
                <w:szCs w:val="20"/>
                <w:lang w:eastAsia="en-US" w:bidi="ar-SA"/>
              </w:rPr>
              <w:t>2025:</w:t>
            </w:r>
            <w:r>
              <w:rPr>
                <w:kern w:val="0"/>
                <w:sz w:val="20"/>
                <w:szCs w:val="20"/>
                <w:lang w:val="en-US" w:eastAsia="en-US" w:bidi="ar-SA"/>
              </w:rPr>
              <w:t>-500.000,00</w:t>
            </w:r>
          </w:p>
          <w:p>
            <w:pPr>
              <w:pStyle w:val="Normal"/>
              <w:widowControl w:val="false"/>
              <w:suppressAutoHyphens w:val="true"/>
              <w:spacing w:before="60" w:after="60"/>
              <w:jc w:val="right"/>
              <w:rPr>
                <w:sz w:val="20"/>
                <w:szCs w:val="20"/>
              </w:rPr>
            </w:pPr>
            <w:r>
              <w:rPr>
                <w:kern w:val="0"/>
                <w:sz w:val="20"/>
                <w:szCs w:val="20"/>
                <w:lang w:eastAsia="en-US" w:bidi="ar-SA"/>
              </w:rPr>
              <w:t>2026</w:t>
            </w:r>
            <w:r>
              <w:rPr>
                <w:kern w:val="0"/>
                <w:sz w:val="20"/>
                <w:szCs w:val="20"/>
                <w:lang w:val="en-US" w:eastAsia="en-US" w:bidi="ar-SA"/>
              </w:rPr>
              <w:t>-550.000,00</w:t>
            </w:r>
            <w:r>
              <w:rPr>
                <w:kern w:val="0"/>
                <w:sz w:val="20"/>
                <w:szCs w:val="20"/>
                <w:lang w:eastAsia="en-US" w:bidi="ar-SA"/>
              </w:rPr>
              <w:t>:</w:t>
            </w:r>
          </w:p>
          <w:p>
            <w:pPr>
              <w:pStyle w:val="Normal"/>
              <w:widowControl w:val="false"/>
              <w:suppressAutoHyphens w:val="true"/>
              <w:spacing w:before="60" w:after="60"/>
              <w:jc w:val="right"/>
              <w:rPr>
                <w:rStyle w:val="Style6"/>
                <w:position w:val="0"/>
                <w:sz w:val="20"/>
                <w:sz w:val="20"/>
                <w:szCs w:val="20"/>
                <w:vertAlign w:val="baseline"/>
              </w:rPr>
            </w:pPr>
            <w:r>
              <w:rPr>
                <w:rStyle w:val="Style6"/>
                <w:kern w:val="0"/>
                <w:position w:val="0"/>
                <w:sz w:val="20"/>
                <w:sz w:val="20"/>
                <w:szCs w:val="20"/>
                <w:vertAlign w:val="baseline"/>
                <w:lang w:eastAsia="en-US" w:bidi="ar-SA"/>
              </w:rPr>
              <w:t>2027</w:t>
            </w:r>
            <w:r>
              <w:rPr>
                <w:kern w:val="0"/>
                <w:sz w:val="20"/>
                <w:szCs w:val="20"/>
                <w:lang w:val="en-US" w:eastAsia="en-US" w:bidi="ar-SA"/>
              </w:rPr>
              <w:t>-1.550.000</w:t>
            </w:r>
            <w:r>
              <w:rPr>
                <w:rStyle w:val="Style6"/>
                <w:kern w:val="0"/>
                <w:position w:val="0"/>
                <w:sz w:val="20"/>
                <w:sz w:val="20"/>
                <w:szCs w:val="20"/>
                <w:vertAlign w:val="baseline"/>
                <w:lang w:eastAsia="en-US" w:bidi="ar-SA"/>
              </w:rPr>
              <w:t>:</w:t>
            </w:r>
          </w:p>
        </w:tc>
        <w:tc>
          <w:tcPr>
            <w:tcW w:w="1759" w:type="dxa"/>
            <w:gridSpan w:val="4"/>
            <w:tcBorders/>
            <w:shd w:color="auto" w:fill="FBD4B4" w:themeFill="accent6" w:themeFillTint="66" w:val="clea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средстава по изворима финансир.:</w:t>
            </w:r>
          </w:p>
        </w:tc>
        <w:tc>
          <w:tcPr>
            <w:tcW w:w="1745" w:type="dxa"/>
            <w:gridSpan w:val="3"/>
            <w:tcBorders/>
            <w:shd w:color="auto" w:fill="FBD4B4" w:themeFill="accent6" w:themeFillTint="66" w:val="clear"/>
          </w:tcPr>
          <w:p>
            <w:pPr>
              <w:pStyle w:val="Normal"/>
              <w:widowControl w:val="false"/>
              <w:suppressAutoHyphens w:val="true"/>
              <w:spacing w:before="60" w:after="60"/>
              <w:jc w:val="center"/>
              <w:rPr>
                <w:sz w:val="20"/>
                <w:szCs w:val="20"/>
              </w:rPr>
            </w:pPr>
            <w:r>
              <w:rPr>
                <w:kern w:val="0"/>
                <w:sz w:val="20"/>
                <w:szCs w:val="20"/>
                <w:lang w:eastAsia="en-US" w:bidi="ar-SA"/>
              </w:rPr>
              <w:t>ЈЛС:</w:t>
            </w:r>
            <w:r>
              <w:rPr>
                <w:kern w:val="0"/>
                <w:sz w:val="20"/>
                <w:szCs w:val="20"/>
                <w:lang w:val="sr-Latn-RS" w:eastAsia="en-US" w:bidi="ar-SA"/>
              </w:rPr>
              <w:t xml:space="preserve"> 2.050.000,00</w:t>
            </w:r>
          </w:p>
          <w:p>
            <w:pPr>
              <w:pStyle w:val="Normal"/>
              <w:widowControl w:val="false"/>
              <w:suppressAutoHyphens w:val="true"/>
              <w:spacing w:before="60" w:after="60"/>
              <w:jc w:val="center"/>
              <w:rPr>
                <w:rStyle w:val="Style6"/>
                <w:position w:val="0"/>
                <w:sz w:val="20"/>
                <w:sz w:val="20"/>
                <w:szCs w:val="20"/>
                <w:vertAlign w:val="baseline"/>
              </w:rPr>
            </w:pPr>
            <w:r>
              <w:rPr>
                <w:rStyle w:val="Style6"/>
                <w:kern w:val="0"/>
                <w:position w:val="0"/>
                <w:sz w:val="20"/>
                <w:sz w:val="20"/>
                <w:szCs w:val="20"/>
                <w:vertAlign w:val="baseline"/>
                <w:lang w:eastAsia="en-US" w:bidi="ar-SA"/>
              </w:rPr>
              <w:t>Донатори:</w:t>
            </w:r>
            <w:r>
              <w:rPr>
                <w:kern w:val="0"/>
                <w:sz w:val="20"/>
                <w:szCs w:val="20"/>
                <w:lang w:val="sr-Latn-RS" w:eastAsia="en-US" w:bidi="ar-SA"/>
              </w:rPr>
              <w:t xml:space="preserve"> 550.000,00</w:t>
            </w:r>
          </w:p>
        </w:tc>
      </w:tr>
      <w:tr>
        <w:trPr/>
        <w:tc>
          <w:tcPr>
            <w:tcW w:w="2845" w:type="dxa"/>
            <w:gridSpan w:val="2"/>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Показатељи на нивоу мере (показатељи резултата)</w:t>
            </w:r>
          </w:p>
        </w:tc>
        <w:tc>
          <w:tcPr>
            <w:tcW w:w="1021"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Јединица мере</w:t>
            </w:r>
          </w:p>
        </w:tc>
        <w:tc>
          <w:tcPr>
            <w:tcW w:w="1510"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година</w:t>
            </w:r>
          </w:p>
        </w:tc>
        <w:tc>
          <w:tcPr>
            <w:tcW w:w="1151"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Базна вредност</w:t>
            </w:r>
          </w:p>
        </w:tc>
        <w:tc>
          <w:tcPr>
            <w:tcW w:w="2172" w:type="dxa"/>
            <w:gridSpan w:val="6"/>
            <w:tcBorders/>
            <w:shd w:color="auto" w:fill="E36C0A" w:themeFill="accent6" w:themeFillShade="bf"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Циљне вредности</w:t>
            </w:r>
          </w:p>
        </w:tc>
        <w:tc>
          <w:tcPr>
            <w:tcW w:w="1360" w:type="dxa"/>
            <w:vMerge w:val="restart"/>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Извор провере</w:t>
            </w:r>
          </w:p>
        </w:tc>
        <w:tc>
          <w:tcPr>
            <w:tcW w:w="10" w:type="dxa"/>
            <w:tcBorders>
              <w:top w:val="nil"/>
              <w:left w:val="nil"/>
              <w:bottom w:val="nil"/>
              <w:right w:val="nil"/>
            </w:tcBorders>
          </w:tcPr>
          <w:p>
            <w:pPr>
              <w:pStyle w:val="Normal"/>
              <w:widowControl w:val="false"/>
              <w:suppressAutoHyphens w:val="true"/>
              <w:spacing w:before="120" w:after="0"/>
              <w:rPr>
                <w:rFonts w:ascii="Calibri" w:hAnsi="Calibri"/>
                <w:kern w:val="0"/>
                <w:sz w:val="22"/>
                <w:szCs w:val="22"/>
                <w:lang w:eastAsia="en-US" w:bidi="ar-SA"/>
              </w:rPr>
            </w:pPr>
            <w:r>
              <w:rPr>
                <w:kern w:val="0"/>
                <w:sz w:val="22"/>
                <w:szCs w:val="22"/>
                <w:lang w:eastAsia="en-US" w:bidi="ar-SA"/>
              </w:rPr>
            </w:r>
          </w:p>
        </w:tc>
      </w:tr>
      <w:tr>
        <w:trPr/>
        <w:tc>
          <w:tcPr>
            <w:tcW w:w="2845" w:type="dxa"/>
            <w:gridSpan w:val="2"/>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21"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510"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151"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692" w:type="dxa"/>
            <w:gridSpan w:val="2"/>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2025.</w:t>
            </w:r>
          </w:p>
        </w:tc>
        <w:tc>
          <w:tcPr>
            <w:tcW w:w="684" w:type="dxa"/>
            <w:gridSpan w:val="2"/>
            <w:tcBorders/>
            <w:shd w:color="auto" w:fill="E36C0A" w:themeFill="accent6" w:themeFillShade="bf" w:val="clear"/>
            <w:vAlign w:val="center"/>
          </w:tcPr>
          <w:p>
            <w:pPr>
              <w:pStyle w:val="Normal"/>
              <w:widowControl w:val="false"/>
              <w:suppressAutoHyphens w:val="true"/>
              <w:spacing w:before="60" w:after="60"/>
              <w:jc w:val="center"/>
              <w:rPr>
                <w:rStyle w:val="Style6"/>
                <w:sz w:val="20"/>
                <w:szCs w:val="20"/>
              </w:rPr>
            </w:pPr>
            <w:r>
              <w:rPr>
                <w:kern w:val="0"/>
                <w:sz w:val="20"/>
                <w:szCs w:val="20"/>
                <w:lang w:eastAsia="en-US" w:bidi="ar-SA"/>
              </w:rPr>
              <w:t>2026.</w:t>
            </w:r>
          </w:p>
        </w:tc>
        <w:tc>
          <w:tcPr>
            <w:tcW w:w="796" w:type="dxa"/>
            <w:gridSpan w:val="2"/>
            <w:tcBorders/>
            <w:shd w:color="auto" w:fill="FABF8F" w:themeFill="accent6" w:themeFillTint="99" w:val="clear"/>
          </w:tcPr>
          <w:p>
            <w:pPr>
              <w:pStyle w:val="Normal"/>
              <w:widowControl w:val="false"/>
              <w:suppressAutoHyphens w:val="true"/>
              <w:spacing w:before="60" w:after="60"/>
              <w:jc w:val="center"/>
              <w:rPr>
                <w:rStyle w:val="Style6"/>
                <w:sz w:val="20"/>
                <w:szCs w:val="20"/>
              </w:rPr>
            </w:pPr>
            <w:r>
              <w:rPr>
                <w:kern w:val="0"/>
                <w:sz w:val="20"/>
                <w:szCs w:val="20"/>
                <w:lang w:eastAsia="en-US" w:bidi="ar-SA"/>
              </w:rPr>
              <w:t>2027.</w:t>
            </w:r>
          </w:p>
        </w:tc>
        <w:tc>
          <w:tcPr>
            <w:tcW w:w="1360" w:type="dxa"/>
            <w:vMerge w:val="continue"/>
            <w:tcBorders/>
            <w:shd w:color="auto" w:fill="FABF8F" w:themeFill="accent6" w:themeFillTint="99" w:val="clear"/>
            <w:vAlign w:val="center"/>
          </w:tcPr>
          <w:p>
            <w:pPr>
              <w:pStyle w:val="Normal"/>
              <w:widowControl w:val="false"/>
              <w:suppressAutoHyphens w:val="true"/>
              <w:spacing w:before="60" w:after="60"/>
              <w:jc w:val="center"/>
              <w:rPr>
                <w:rStyle w:val="Style6"/>
                <w:sz w:val="20"/>
                <w:szCs w:val="20"/>
              </w:rPr>
            </w:pPr>
            <w:r>
              <w:rPr>
                <w:sz w:val="20"/>
                <w:szCs w:val="20"/>
              </w:rPr>
            </w:r>
          </w:p>
        </w:tc>
        <w:tc>
          <w:tcPr>
            <w:tcW w:w="10" w:type="dxa"/>
            <w:tcBorders>
              <w:top w:val="nil"/>
              <w:left w:val="nil"/>
              <w:bottom w:val="nil"/>
              <w:right w:val="nil"/>
            </w:tcBorders>
          </w:tcPr>
          <w:p>
            <w:pPr>
              <w:pStyle w:val="Normal"/>
              <w:widowControl w:val="false"/>
              <w:suppressAutoHyphens w:val="true"/>
              <w:spacing w:before="120" w:after="0"/>
              <w:rPr>
                <w:rFonts w:ascii="Calibri" w:hAnsi="Calibri"/>
                <w:kern w:val="0"/>
                <w:sz w:val="22"/>
                <w:szCs w:val="22"/>
                <w:lang w:eastAsia="en-US" w:bidi="ar-SA"/>
              </w:rPr>
            </w:pPr>
            <w:r>
              <w:rPr>
                <w:kern w:val="0"/>
                <w:sz w:val="22"/>
                <w:szCs w:val="22"/>
                <w:lang w:eastAsia="en-US" w:bidi="ar-SA"/>
              </w:rPr>
            </w:r>
          </w:p>
        </w:tc>
      </w:tr>
      <w:tr>
        <w:trPr/>
        <w:tc>
          <w:tcPr>
            <w:tcW w:w="2845" w:type="dxa"/>
            <w:gridSpan w:val="2"/>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Број израђене инфраструктуре</w:t>
            </w:r>
          </w:p>
        </w:tc>
        <w:tc>
          <w:tcPr>
            <w:tcW w:w="102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Број</w:t>
            </w:r>
          </w:p>
        </w:tc>
        <w:tc>
          <w:tcPr>
            <w:tcW w:w="1510"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2024.</w:t>
            </w:r>
          </w:p>
        </w:tc>
        <w:tc>
          <w:tcPr>
            <w:tcW w:w="1151" w:type="dxa"/>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w:t>
            </w:r>
          </w:p>
        </w:tc>
        <w:tc>
          <w:tcPr>
            <w:tcW w:w="692" w:type="dxa"/>
            <w:gridSpan w:val="2"/>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3</w:t>
            </w:r>
          </w:p>
        </w:tc>
        <w:tc>
          <w:tcPr>
            <w:tcW w:w="684" w:type="dxa"/>
            <w:gridSpan w:val="2"/>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3</w:t>
            </w:r>
          </w:p>
        </w:tc>
        <w:tc>
          <w:tcPr>
            <w:tcW w:w="796"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1</w:t>
            </w:r>
          </w:p>
        </w:tc>
        <w:tc>
          <w:tcPr>
            <w:tcW w:w="1360" w:type="dxa"/>
            <w:tcBorders/>
          </w:tcPr>
          <w:p>
            <w:pPr>
              <w:pStyle w:val="Normal"/>
              <w:widowControl w:val="false"/>
              <w:suppressAutoHyphens w:val="true"/>
              <w:spacing w:before="60" w:after="60"/>
              <w:jc w:val="left"/>
              <w:rPr>
                <w:rStyle w:val="Style6"/>
                <w:sz w:val="20"/>
                <w:szCs w:val="20"/>
              </w:rPr>
            </w:pPr>
            <w:r>
              <w:rPr>
                <w:kern w:val="0"/>
                <w:sz w:val="20"/>
                <w:szCs w:val="20"/>
                <w:lang w:eastAsia="en-US" w:bidi="ar-SA"/>
              </w:rPr>
              <w:t>Извештај о реализацији ЛАП-а</w:t>
            </w:r>
          </w:p>
        </w:tc>
        <w:tc>
          <w:tcPr>
            <w:tcW w:w="10" w:type="dxa"/>
            <w:tcBorders>
              <w:top w:val="nil"/>
              <w:left w:val="nil"/>
              <w:bottom w:val="nil"/>
              <w:right w:val="nil"/>
            </w:tcBorders>
          </w:tcPr>
          <w:p>
            <w:pPr>
              <w:pStyle w:val="Normal"/>
              <w:widowControl w:val="false"/>
              <w:suppressAutoHyphens w:val="true"/>
              <w:spacing w:before="120" w:after="0"/>
              <w:rPr>
                <w:rFonts w:ascii="Calibri" w:hAnsi="Calibri"/>
                <w:kern w:val="0"/>
                <w:sz w:val="22"/>
                <w:szCs w:val="22"/>
                <w:lang w:eastAsia="en-US" w:bidi="ar-SA"/>
              </w:rPr>
            </w:pPr>
            <w:r>
              <w:rPr>
                <w:kern w:val="0"/>
                <w:sz w:val="22"/>
                <w:szCs w:val="22"/>
                <w:lang w:eastAsia="en-US" w:bidi="ar-SA"/>
              </w:rPr>
            </w:r>
          </w:p>
        </w:tc>
      </w:tr>
      <w:tr>
        <w:trPr/>
        <w:tc>
          <w:tcPr>
            <w:tcW w:w="2845"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Број санираних и рекоструисаних објеката</w:t>
            </w:r>
          </w:p>
        </w:tc>
        <w:tc>
          <w:tcPr>
            <w:tcW w:w="1021" w:type="dxa"/>
            <w:tcBorders/>
          </w:tcPr>
          <w:p>
            <w:pPr>
              <w:pStyle w:val="Normal"/>
              <w:widowControl w:val="false"/>
              <w:suppressAutoHyphens w:val="true"/>
              <w:spacing w:before="60" w:after="60"/>
              <w:jc w:val="center"/>
              <w:rPr>
                <w:sz w:val="20"/>
                <w:szCs w:val="20"/>
              </w:rPr>
            </w:pPr>
            <w:r>
              <w:rPr>
                <w:kern w:val="0"/>
                <w:sz w:val="20"/>
                <w:szCs w:val="20"/>
                <w:lang w:eastAsia="en-US" w:bidi="ar-SA"/>
              </w:rPr>
              <w:t>Број</w:t>
            </w:r>
          </w:p>
        </w:tc>
        <w:tc>
          <w:tcPr>
            <w:tcW w:w="1510" w:type="dxa"/>
            <w:tcBorders/>
          </w:tcPr>
          <w:p>
            <w:pPr>
              <w:pStyle w:val="Normal"/>
              <w:widowControl w:val="false"/>
              <w:suppressAutoHyphens w:val="true"/>
              <w:spacing w:before="60" w:after="60"/>
              <w:jc w:val="center"/>
              <w:rPr>
                <w:sz w:val="20"/>
                <w:szCs w:val="20"/>
              </w:rPr>
            </w:pPr>
            <w:r>
              <w:rPr>
                <w:kern w:val="0"/>
                <w:sz w:val="20"/>
                <w:szCs w:val="20"/>
                <w:lang w:eastAsia="en-US" w:bidi="ar-SA"/>
              </w:rPr>
              <w:t>2024</w:t>
            </w:r>
          </w:p>
        </w:tc>
        <w:tc>
          <w:tcPr>
            <w:tcW w:w="1151" w:type="dxa"/>
            <w:tcBorders/>
          </w:tcPr>
          <w:p>
            <w:pPr>
              <w:pStyle w:val="Normal"/>
              <w:widowControl w:val="false"/>
              <w:suppressAutoHyphens w:val="true"/>
              <w:spacing w:before="60" w:after="60"/>
              <w:jc w:val="center"/>
              <w:rPr>
                <w:rStyle w:val="Style6"/>
                <w:sz w:val="20"/>
                <w:szCs w:val="20"/>
              </w:rPr>
            </w:pPr>
            <w:r>
              <w:rPr>
                <w:sz w:val="20"/>
                <w:szCs w:val="20"/>
              </w:rPr>
            </w:r>
          </w:p>
        </w:tc>
        <w:tc>
          <w:tcPr>
            <w:tcW w:w="692" w:type="dxa"/>
            <w:gridSpan w:val="2"/>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10</w:t>
            </w:r>
          </w:p>
        </w:tc>
        <w:tc>
          <w:tcPr>
            <w:tcW w:w="684" w:type="dxa"/>
            <w:gridSpan w:val="2"/>
            <w:tcBorders/>
          </w:tcPr>
          <w:p>
            <w:pPr>
              <w:pStyle w:val="Normal"/>
              <w:widowControl w:val="false"/>
              <w:suppressAutoHyphens w:val="true"/>
              <w:spacing w:before="60" w:after="60"/>
              <w:jc w:val="center"/>
              <w:rPr>
                <w:rStyle w:val="Style6"/>
                <w:sz w:val="20"/>
                <w:szCs w:val="20"/>
              </w:rPr>
            </w:pPr>
            <w:r>
              <w:rPr>
                <w:kern w:val="0"/>
                <w:sz w:val="20"/>
                <w:szCs w:val="20"/>
                <w:lang w:eastAsia="en-US" w:bidi="ar-SA"/>
              </w:rPr>
              <w:t>10</w:t>
            </w:r>
          </w:p>
        </w:tc>
        <w:tc>
          <w:tcPr>
            <w:tcW w:w="796" w:type="dxa"/>
            <w:gridSpan w:val="2"/>
            <w:tcBorders/>
          </w:tcPr>
          <w:p>
            <w:pPr>
              <w:pStyle w:val="Normal"/>
              <w:widowControl w:val="false"/>
              <w:suppressAutoHyphens w:val="true"/>
              <w:spacing w:before="60" w:after="60"/>
              <w:jc w:val="left"/>
              <w:rPr>
                <w:sz w:val="20"/>
                <w:szCs w:val="20"/>
              </w:rPr>
            </w:pPr>
            <w:r>
              <w:rPr>
                <w:kern w:val="0"/>
                <w:sz w:val="20"/>
                <w:szCs w:val="20"/>
                <w:lang w:eastAsia="en-US" w:bidi="ar-SA"/>
              </w:rPr>
              <w:t>10</w:t>
            </w:r>
          </w:p>
        </w:tc>
        <w:tc>
          <w:tcPr>
            <w:tcW w:w="1360" w:type="dxa"/>
            <w:tcBorders/>
          </w:tcPr>
          <w:p>
            <w:pPr>
              <w:pStyle w:val="Normal"/>
              <w:widowControl w:val="false"/>
              <w:suppressAutoHyphens w:val="true"/>
              <w:spacing w:before="60" w:after="60"/>
              <w:jc w:val="left"/>
              <w:rPr>
                <w:sz w:val="20"/>
                <w:szCs w:val="20"/>
              </w:rPr>
            </w:pPr>
            <w:r>
              <w:rPr>
                <w:kern w:val="0"/>
                <w:sz w:val="20"/>
                <w:szCs w:val="20"/>
                <w:lang w:eastAsia="en-US" w:bidi="ar-SA"/>
              </w:rPr>
              <w:t>Извештај о реализацији ЛАП-а</w:t>
            </w:r>
          </w:p>
        </w:tc>
        <w:tc>
          <w:tcPr>
            <w:tcW w:w="10" w:type="dxa"/>
            <w:tcBorders>
              <w:top w:val="nil"/>
              <w:left w:val="nil"/>
              <w:bottom w:val="nil"/>
              <w:right w:val="nil"/>
            </w:tcBorders>
          </w:tcPr>
          <w:p>
            <w:pPr>
              <w:pStyle w:val="Normal"/>
              <w:widowControl w:val="false"/>
              <w:suppressAutoHyphens w:val="true"/>
              <w:spacing w:before="120" w:after="0"/>
              <w:rPr>
                <w:rFonts w:ascii="Calibri" w:hAnsi="Calibri"/>
                <w:kern w:val="0"/>
                <w:sz w:val="22"/>
                <w:szCs w:val="22"/>
                <w:lang w:eastAsia="en-US" w:bidi="ar-SA"/>
              </w:rPr>
            </w:pPr>
            <w:r>
              <w:rPr>
                <w:kern w:val="0"/>
                <w:sz w:val="22"/>
                <w:szCs w:val="22"/>
                <w:lang w:eastAsia="en-US" w:bidi="ar-SA"/>
              </w:rPr>
            </w:r>
          </w:p>
        </w:tc>
      </w:tr>
    </w:tbl>
    <w:p>
      <w:pPr>
        <w:pStyle w:val="Normal"/>
        <w:spacing w:before="240" w:after="0"/>
        <w:rPr/>
      </w:pPr>
      <w:r>
        <w:rPr/>
      </w:r>
    </w:p>
    <w:tbl>
      <w:tblPr>
        <w:tblStyle w:val="TableGrid"/>
        <w:tblW w:w="1006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820"/>
        <w:gridCol w:w="1686"/>
        <w:gridCol w:w="945"/>
        <w:gridCol w:w="1149"/>
        <w:gridCol w:w="1261"/>
        <w:gridCol w:w="1284"/>
        <w:gridCol w:w="1543"/>
        <w:gridCol w:w="1370"/>
      </w:tblGrid>
      <w:tr>
        <w:trPr/>
        <w:tc>
          <w:tcPr>
            <w:tcW w:w="820"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Ознака</w:t>
            </w:r>
          </w:p>
        </w:tc>
        <w:tc>
          <w:tcPr>
            <w:tcW w:w="1686" w:type="dxa"/>
            <w:tcBorders/>
            <w:shd w:color="auto" w:fill="92CDDC" w:themeFill="accent5" w:themeFillTint="99" w:val="clear"/>
            <w:vAlign w:val="center"/>
          </w:tcPr>
          <w:p>
            <w:pPr>
              <w:pStyle w:val="Normal"/>
              <w:widowControl w:val="false"/>
              <w:suppressAutoHyphens w:val="true"/>
              <w:spacing w:before="60" w:after="60"/>
              <w:jc w:val="left"/>
              <w:rPr>
                <w:sz w:val="20"/>
                <w:szCs w:val="20"/>
              </w:rPr>
            </w:pPr>
            <w:r>
              <w:rPr>
                <w:kern w:val="0"/>
                <w:sz w:val="20"/>
                <w:szCs w:val="20"/>
                <w:lang w:eastAsia="en-US" w:bidi="ar-SA"/>
              </w:rPr>
              <w:t>Назив активности</w:t>
            </w:r>
          </w:p>
        </w:tc>
        <w:tc>
          <w:tcPr>
            <w:tcW w:w="945"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Носилац</w:t>
            </w:r>
          </w:p>
        </w:tc>
        <w:tc>
          <w:tcPr>
            <w:tcW w:w="1149"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Партнери</w:t>
            </w:r>
          </w:p>
        </w:tc>
        <w:tc>
          <w:tcPr>
            <w:tcW w:w="1261"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Рок за реализацију</w:t>
            </w:r>
          </w:p>
        </w:tc>
        <w:tc>
          <w:tcPr>
            <w:tcW w:w="1284"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Укупно потребна фин. средства (РСД)</w:t>
            </w:r>
          </w:p>
        </w:tc>
        <w:tc>
          <w:tcPr>
            <w:tcW w:w="1543"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годинама (РСД)</w:t>
            </w:r>
          </w:p>
        </w:tc>
        <w:tc>
          <w:tcPr>
            <w:tcW w:w="1370" w:type="dxa"/>
            <w:tcBorders/>
            <w:shd w:color="auto" w:fill="92CDDC" w:themeFill="accent5" w:themeFillTint="99" w:val="clear"/>
            <w:vAlign w:val="center"/>
          </w:tcPr>
          <w:p>
            <w:pPr>
              <w:pStyle w:val="Normal"/>
              <w:widowControl w:val="false"/>
              <w:suppressAutoHyphens w:val="true"/>
              <w:spacing w:before="60" w:after="60"/>
              <w:jc w:val="center"/>
              <w:rPr>
                <w:sz w:val="20"/>
                <w:szCs w:val="20"/>
              </w:rPr>
            </w:pPr>
            <w:r>
              <w:rPr>
                <w:kern w:val="0"/>
                <w:sz w:val="20"/>
                <w:szCs w:val="20"/>
                <w:lang w:eastAsia="en-US" w:bidi="ar-SA"/>
              </w:rPr>
              <w:t>Вредности фин. средства по изворима (РСД)</w:t>
            </w:r>
          </w:p>
        </w:tc>
      </w:tr>
      <w:tr>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1.4.1</w:t>
            </w:r>
          </w:p>
        </w:tc>
        <w:tc>
          <w:tcPr>
            <w:tcW w:w="1686" w:type="dxa"/>
            <w:tcBorders/>
          </w:tcPr>
          <w:p>
            <w:pPr>
              <w:pStyle w:val="Normal"/>
              <w:widowControl w:val="false"/>
              <w:suppressAutoHyphens w:val="true"/>
              <w:spacing w:before="60" w:after="60"/>
              <w:jc w:val="left"/>
              <w:rPr>
                <w:sz w:val="20"/>
                <w:szCs w:val="20"/>
              </w:rPr>
            </w:pPr>
            <w:r>
              <w:rPr>
                <w:kern w:val="0"/>
                <w:sz w:val="20"/>
                <w:szCs w:val="20"/>
                <w:lang w:eastAsia="en-US" w:bidi="ar-SA"/>
              </w:rPr>
              <w:t>Унапређење инфраструктуре у насељу са реконструкцијом</w:t>
            </w:r>
            <w:r>
              <w:rPr>
                <w:rFonts w:cs="Times New Roman" w:ascii="Times New Roman" w:hAnsi="Times New Roman"/>
                <w:kern w:val="0"/>
                <w:sz w:val="20"/>
                <w:szCs w:val="20"/>
                <w:lang w:eastAsia="en-US" w:bidi="ar-SA"/>
              </w:rPr>
              <w:t xml:space="preserve"> </w:t>
            </w:r>
            <w:r>
              <w:rPr>
                <w:kern w:val="0"/>
                <w:sz w:val="20"/>
                <w:szCs w:val="20"/>
                <w:lang w:eastAsia="en-US" w:bidi="ar-SA"/>
              </w:rPr>
              <w:t>водоводне мреже, изградња електро мреже,  асфалтирање коловоза</w:t>
            </w:r>
          </w:p>
        </w:tc>
        <w:tc>
          <w:tcPr>
            <w:tcW w:w="945"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ЈЛС</w:t>
            </w:r>
          </w:p>
        </w:tc>
        <w:tc>
          <w:tcPr>
            <w:tcW w:w="1149"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Јавна комунална предузећа</w:t>
            </w:r>
          </w:p>
        </w:tc>
        <w:tc>
          <w:tcPr>
            <w:tcW w:w="1261"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2025-2027</w:t>
            </w:r>
          </w:p>
        </w:tc>
        <w:tc>
          <w:tcPr>
            <w:tcW w:w="1284" w:type="dxa"/>
            <w:tcBorders/>
            <w:vAlign w:val="center"/>
          </w:tcPr>
          <w:p>
            <w:pPr>
              <w:pStyle w:val="Normal"/>
              <w:widowControl w:val="false"/>
              <w:suppressAutoHyphens w:val="true"/>
              <w:spacing w:before="60" w:after="60"/>
              <w:jc w:val="center"/>
              <w:rPr>
                <w:sz w:val="20"/>
                <w:szCs w:val="20"/>
                <w:lang w:val="en-US"/>
              </w:rPr>
            </w:pPr>
            <w:r>
              <w:rPr>
                <w:kern w:val="0"/>
                <w:sz w:val="20"/>
                <w:szCs w:val="20"/>
                <w:lang w:val="en-US" w:eastAsia="en-US" w:bidi="ar-SA"/>
              </w:rPr>
              <w:t>2.000.000,00</w:t>
            </w:r>
          </w:p>
        </w:tc>
        <w:tc>
          <w:tcPr>
            <w:tcW w:w="1543" w:type="dxa"/>
            <w:tcBorders/>
            <w:vAlign w:val="center"/>
          </w:tcPr>
          <w:p>
            <w:pPr>
              <w:pStyle w:val="Normal"/>
              <w:widowControl w:val="false"/>
              <w:suppressAutoHyphens w:val="true"/>
              <w:spacing w:before="60" w:after="60"/>
              <w:rPr>
                <w:sz w:val="20"/>
                <w:szCs w:val="20"/>
                <w:lang w:val="en-US"/>
              </w:rPr>
            </w:pPr>
            <w:r>
              <w:rPr>
                <w:kern w:val="0"/>
                <w:sz w:val="20"/>
                <w:szCs w:val="20"/>
                <w:lang w:val="en-US" w:eastAsia="en-US" w:bidi="ar-SA"/>
              </w:rPr>
              <w:t>2025: 500.000,</w:t>
            </w:r>
          </w:p>
          <w:p>
            <w:pPr>
              <w:pStyle w:val="Normal"/>
              <w:widowControl w:val="false"/>
              <w:suppressAutoHyphens w:val="true"/>
              <w:spacing w:before="60" w:after="60"/>
              <w:rPr>
                <w:sz w:val="20"/>
                <w:szCs w:val="20"/>
                <w:lang w:val="en-US"/>
              </w:rPr>
            </w:pPr>
            <w:r>
              <w:rPr>
                <w:kern w:val="0"/>
                <w:sz w:val="20"/>
                <w:szCs w:val="20"/>
                <w:lang w:val="en-US" w:eastAsia="en-US" w:bidi="ar-SA"/>
              </w:rPr>
              <w:t>2026: 500.000,</w:t>
            </w:r>
          </w:p>
          <w:p>
            <w:pPr>
              <w:pStyle w:val="Normal"/>
              <w:widowControl w:val="false"/>
              <w:suppressAutoHyphens w:val="true"/>
              <w:spacing w:before="60" w:after="60"/>
              <w:jc w:val="center"/>
              <w:rPr>
                <w:sz w:val="20"/>
                <w:szCs w:val="20"/>
                <w:lang w:val="en-US"/>
              </w:rPr>
            </w:pPr>
            <w:r>
              <w:rPr>
                <w:kern w:val="0"/>
                <w:sz w:val="20"/>
                <w:szCs w:val="20"/>
                <w:lang w:val="en-US" w:eastAsia="en-US" w:bidi="ar-SA"/>
              </w:rPr>
              <w:t>2027: 1.000.000</w:t>
            </w:r>
          </w:p>
        </w:tc>
        <w:tc>
          <w:tcPr>
            <w:tcW w:w="1370"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Средсттва ЈЛС, АПВ, РС,</w:t>
            </w:r>
          </w:p>
          <w:p>
            <w:pPr>
              <w:pStyle w:val="Normal"/>
              <w:widowControl w:val="false"/>
              <w:suppressAutoHyphens w:val="true"/>
              <w:spacing w:before="60" w:after="60"/>
              <w:jc w:val="center"/>
              <w:rPr>
                <w:sz w:val="20"/>
                <w:szCs w:val="20"/>
              </w:rPr>
            </w:pPr>
            <w:r>
              <w:rPr>
                <w:kern w:val="0"/>
                <w:sz w:val="20"/>
                <w:szCs w:val="20"/>
                <w:lang w:eastAsia="en-US" w:bidi="ar-SA"/>
              </w:rPr>
              <w:t>Донаторска средства</w:t>
            </w:r>
          </w:p>
        </w:tc>
      </w:tr>
      <w:tr>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1.4.2</w:t>
            </w:r>
          </w:p>
        </w:tc>
        <w:tc>
          <w:tcPr>
            <w:tcW w:w="1686" w:type="dxa"/>
            <w:tcBorders/>
          </w:tcPr>
          <w:p>
            <w:pPr>
              <w:pStyle w:val="Normal"/>
              <w:widowControl w:val="false"/>
              <w:suppressAutoHyphens w:val="true"/>
              <w:spacing w:before="60" w:after="60"/>
              <w:jc w:val="left"/>
              <w:rPr>
                <w:sz w:val="20"/>
                <w:szCs w:val="20"/>
              </w:rPr>
            </w:pPr>
            <w:r>
              <w:rPr>
                <w:kern w:val="0"/>
                <w:sz w:val="20"/>
                <w:szCs w:val="20"/>
                <w:lang w:eastAsia="en-US" w:bidi="ar-SA"/>
              </w:rPr>
              <w:t>Санација и реконструкција објеката у ромским насељима</w:t>
            </w:r>
          </w:p>
        </w:tc>
        <w:tc>
          <w:tcPr>
            <w:tcW w:w="945"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ЈЛС</w:t>
            </w:r>
          </w:p>
        </w:tc>
        <w:tc>
          <w:tcPr>
            <w:tcW w:w="1149"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ОЦД</w:t>
            </w:r>
          </w:p>
        </w:tc>
        <w:tc>
          <w:tcPr>
            <w:tcW w:w="1261"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2025-2027</w:t>
            </w:r>
          </w:p>
        </w:tc>
        <w:tc>
          <w:tcPr>
            <w:tcW w:w="1284" w:type="dxa"/>
            <w:tcBorders/>
            <w:vAlign w:val="center"/>
          </w:tcPr>
          <w:p>
            <w:pPr>
              <w:pStyle w:val="Normal"/>
              <w:widowControl w:val="false"/>
              <w:suppressAutoHyphens w:val="true"/>
              <w:spacing w:before="60" w:after="60"/>
              <w:jc w:val="center"/>
              <w:rPr>
                <w:sz w:val="20"/>
                <w:szCs w:val="20"/>
                <w:lang w:val="en-US"/>
              </w:rPr>
            </w:pPr>
            <w:r>
              <w:rPr>
                <w:kern w:val="0"/>
                <w:sz w:val="20"/>
                <w:szCs w:val="20"/>
                <w:lang w:val="en-US" w:eastAsia="en-US" w:bidi="ar-SA"/>
              </w:rPr>
              <w:t>500.000,00</w:t>
            </w:r>
          </w:p>
        </w:tc>
        <w:tc>
          <w:tcPr>
            <w:tcW w:w="1543" w:type="dxa"/>
            <w:tcBorders/>
            <w:vAlign w:val="center"/>
          </w:tcPr>
          <w:p>
            <w:pPr>
              <w:pStyle w:val="Normal"/>
              <w:widowControl w:val="false"/>
              <w:suppressAutoHyphens w:val="true"/>
              <w:spacing w:before="60" w:after="60"/>
              <w:jc w:val="center"/>
              <w:rPr>
                <w:sz w:val="20"/>
                <w:szCs w:val="20"/>
                <w:lang w:val="en-US"/>
              </w:rPr>
            </w:pPr>
            <w:r>
              <w:rPr>
                <w:kern w:val="0"/>
                <w:sz w:val="20"/>
                <w:szCs w:val="20"/>
                <w:lang w:val="en-US" w:eastAsia="en-US" w:bidi="ar-SA"/>
              </w:rPr>
              <w:t>2027: 500.000,00</w:t>
            </w:r>
          </w:p>
        </w:tc>
        <w:tc>
          <w:tcPr>
            <w:tcW w:w="1370"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Средсттва ЈЛС, АПВ, РС,</w:t>
            </w:r>
          </w:p>
          <w:p>
            <w:pPr>
              <w:pStyle w:val="Normal"/>
              <w:widowControl w:val="false"/>
              <w:suppressAutoHyphens w:val="true"/>
              <w:spacing w:before="60" w:after="60"/>
              <w:jc w:val="center"/>
              <w:rPr>
                <w:sz w:val="20"/>
                <w:szCs w:val="20"/>
              </w:rPr>
            </w:pPr>
            <w:r>
              <w:rPr>
                <w:kern w:val="0"/>
                <w:sz w:val="20"/>
                <w:szCs w:val="20"/>
                <w:lang w:eastAsia="en-US" w:bidi="ar-SA"/>
              </w:rPr>
              <w:t>Донаторска средства</w:t>
            </w:r>
          </w:p>
        </w:tc>
      </w:tr>
      <w:tr>
        <w:trPr/>
        <w:tc>
          <w:tcPr>
            <w:tcW w:w="820" w:type="dxa"/>
            <w:tcBorders/>
          </w:tcPr>
          <w:p>
            <w:pPr>
              <w:pStyle w:val="Normal"/>
              <w:widowControl w:val="false"/>
              <w:suppressAutoHyphens w:val="true"/>
              <w:spacing w:before="60" w:after="60"/>
              <w:jc w:val="left"/>
              <w:rPr>
                <w:sz w:val="20"/>
                <w:szCs w:val="20"/>
              </w:rPr>
            </w:pPr>
            <w:r>
              <w:rPr>
                <w:kern w:val="0"/>
                <w:sz w:val="20"/>
                <w:szCs w:val="20"/>
                <w:lang w:eastAsia="en-US" w:bidi="ar-SA"/>
              </w:rPr>
              <w:t>1.4.3</w:t>
            </w:r>
          </w:p>
        </w:tc>
        <w:tc>
          <w:tcPr>
            <w:tcW w:w="1686" w:type="dxa"/>
            <w:tcBorders/>
          </w:tcPr>
          <w:p>
            <w:pPr>
              <w:pStyle w:val="Normal"/>
              <w:widowControl w:val="false"/>
              <w:suppressAutoHyphens w:val="true"/>
              <w:spacing w:before="60" w:after="60"/>
              <w:jc w:val="left"/>
              <w:rPr>
                <w:sz w:val="20"/>
                <w:szCs w:val="20"/>
              </w:rPr>
            </w:pPr>
            <w:r>
              <w:rPr>
                <w:rFonts w:eastAsia="Calibri"/>
                <w:kern w:val="0"/>
                <w:sz w:val="20"/>
                <w:szCs w:val="20"/>
                <w:lang w:eastAsia="en-US" w:bidi="ar-SA"/>
              </w:rPr>
              <w:t>Информативне радионице о подизању свести о очувању животне средине и одржавање хигијене стамбених простора и насеља</w:t>
            </w:r>
          </w:p>
        </w:tc>
        <w:tc>
          <w:tcPr>
            <w:tcW w:w="945"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ЈЛС</w:t>
            </w:r>
          </w:p>
        </w:tc>
        <w:tc>
          <w:tcPr>
            <w:tcW w:w="1149"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ОЦД</w:t>
            </w:r>
          </w:p>
        </w:tc>
        <w:tc>
          <w:tcPr>
            <w:tcW w:w="1261"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2025-2027</w:t>
            </w:r>
          </w:p>
        </w:tc>
        <w:tc>
          <w:tcPr>
            <w:tcW w:w="1284" w:type="dxa"/>
            <w:tcBorders/>
            <w:vAlign w:val="center"/>
          </w:tcPr>
          <w:p>
            <w:pPr>
              <w:pStyle w:val="Normal"/>
              <w:widowControl w:val="false"/>
              <w:suppressAutoHyphens w:val="true"/>
              <w:spacing w:before="60" w:after="60"/>
              <w:jc w:val="center"/>
              <w:rPr>
                <w:sz w:val="20"/>
                <w:szCs w:val="20"/>
                <w:lang w:val="en-US"/>
              </w:rPr>
            </w:pPr>
            <w:r>
              <w:rPr>
                <w:kern w:val="0"/>
                <w:sz w:val="20"/>
                <w:szCs w:val="20"/>
                <w:lang w:val="en-US" w:eastAsia="en-US" w:bidi="ar-SA"/>
              </w:rPr>
              <w:t>100.000,00</w:t>
            </w:r>
          </w:p>
        </w:tc>
        <w:tc>
          <w:tcPr>
            <w:tcW w:w="1543" w:type="dxa"/>
            <w:tcBorders/>
            <w:vAlign w:val="center"/>
          </w:tcPr>
          <w:p>
            <w:pPr>
              <w:pStyle w:val="Normal"/>
              <w:widowControl w:val="false"/>
              <w:suppressAutoHyphens w:val="true"/>
              <w:spacing w:before="60" w:after="60"/>
              <w:jc w:val="center"/>
              <w:rPr>
                <w:sz w:val="20"/>
                <w:szCs w:val="20"/>
                <w:lang w:val="en-US"/>
              </w:rPr>
            </w:pPr>
            <w:r>
              <w:rPr>
                <w:kern w:val="0"/>
                <w:sz w:val="20"/>
                <w:szCs w:val="20"/>
                <w:lang w:val="en-US" w:eastAsia="en-US" w:bidi="ar-SA"/>
              </w:rPr>
              <w:t>2026: 50.000,00,</w:t>
            </w:r>
          </w:p>
          <w:p>
            <w:pPr>
              <w:pStyle w:val="Normal"/>
              <w:widowControl w:val="false"/>
              <w:suppressAutoHyphens w:val="true"/>
              <w:spacing w:before="60" w:after="60"/>
              <w:jc w:val="center"/>
              <w:rPr>
                <w:sz w:val="20"/>
                <w:szCs w:val="20"/>
                <w:lang w:val="en-US"/>
              </w:rPr>
            </w:pPr>
            <w:r>
              <w:rPr>
                <w:kern w:val="0"/>
                <w:sz w:val="20"/>
                <w:szCs w:val="20"/>
                <w:lang w:val="en-US" w:eastAsia="en-US" w:bidi="ar-SA"/>
              </w:rPr>
              <w:t>2027:</w:t>
            </w:r>
          </w:p>
          <w:p>
            <w:pPr>
              <w:pStyle w:val="Normal"/>
              <w:widowControl w:val="false"/>
              <w:suppressAutoHyphens w:val="true"/>
              <w:spacing w:before="60" w:after="60"/>
              <w:jc w:val="center"/>
              <w:rPr>
                <w:sz w:val="20"/>
                <w:szCs w:val="20"/>
              </w:rPr>
            </w:pPr>
            <w:r>
              <w:rPr>
                <w:kern w:val="0"/>
                <w:sz w:val="20"/>
                <w:szCs w:val="20"/>
                <w:lang w:val="en-US" w:eastAsia="en-US" w:bidi="ar-SA"/>
              </w:rPr>
              <w:t>50.000,00</w:t>
            </w:r>
          </w:p>
        </w:tc>
        <w:tc>
          <w:tcPr>
            <w:tcW w:w="1370" w:type="dxa"/>
            <w:tcBorders/>
            <w:vAlign w:val="center"/>
          </w:tcPr>
          <w:p>
            <w:pPr>
              <w:pStyle w:val="Normal"/>
              <w:widowControl w:val="false"/>
              <w:suppressAutoHyphens w:val="true"/>
              <w:spacing w:before="60" w:after="60"/>
              <w:jc w:val="center"/>
              <w:rPr>
                <w:sz w:val="20"/>
                <w:szCs w:val="20"/>
              </w:rPr>
            </w:pPr>
            <w:r>
              <w:rPr>
                <w:kern w:val="0"/>
                <w:sz w:val="20"/>
                <w:szCs w:val="20"/>
                <w:lang w:eastAsia="en-US" w:bidi="ar-SA"/>
              </w:rPr>
              <w:t>Средсттва ЈЛС, АПВ, РС,</w:t>
            </w:r>
          </w:p>
          <w:p>
            <w:pPr>
              <w:pStyle w:val="Normal"/>
              <w:widowControl w:val="false"/>
              <w:suppressAutoHyphens w:val="true"/>
              <w:spacing w:before="60" w:after="60"/>
              <w:jc w:val="center"/>
              <w:rPr>
                <w:sz w:val="20"/>
                <w:szCs w:val="20"/>
              </w:rPr>
            </w:pPr>
            <w:r>
              <w:rPr>
                <w:kern w:val="0"/>
                <w:sz w:val="20"/>
                <w:szCs w:val="20"/>
                <w:lang w:eastAsia="en-US" w:bidi="ar-SA"/>
              </w:rPr>
              <w:t>Донаторска средства</w:t>
            </w:r>
          </w:p>
        </w:tc>
      </w:tr>
    </w:tbl>
    <w:p>
      <w:pPr>
        <w:pStyle w:val="Normal"/>
        <w:spacing w:before="240" w:after="0"/>
        <w:rPr/>
      </w:pPr>
      <w:r>
        <w:rPr/>
      </w:r>
    </w:p>
    <w:p>
      <w:pPr>
        <w:pStyle w:val="Normal"/>
        <w:spacing w:before="240" w:after="0"/>
        <w:rPr/>
      </w:pPr>
      <w:r>
        <w:rPr/>
      </w:r>
    </w:p>
    <w:p>
      <w:pPr>
        <w:pStyle w:val="1"/>
        <w:spacing w:lineRule="auto" w:line="276" w:before="0" w:after="60"/>
        <w:rPr>
          <w:rFonts w:cs="Calibri" w:cstheme="minorHAnsi"/>
        </w:rPr>
      </w:pPr>
      <w:bookmarkStart w:id="21" w:name="_Toc184550037"/>
      <w:bookmarkStart w:id="22" w:name="_Toc70327799"/>
      <w:r>
        <w:rPr>
          <w:rFonts w:cs="Calibri" w:cstheme="minorHAnsi"/>
        </w:rPr>
        <w:t>ОКВИР ПРОГРАМСКОГ БУЏЕТА ЗА СПРОВОЂЕЊЕ АКЦИОНОГ ПЛАНА</w:t>
      </w:r>
      <w:bookmarkEnd w:id="21"/>
      <w:bookmarkEnd w:id="22"/>
    </w:p>
    <w:p>
      <w:pPr>
        <w:pStyle w:val="Normal"/>
        <w:rPr>
          <w:rFonts w:eastAsia="" w:eastAsiaTheme="majorEastAsia"/>
          <w:lang w:val="en-US"/>
        </w:rPr>
      </w:pPr>
      <w:r>
        <w:rPr>
          <w:rFonts w:eastAsia="" w:eastAsiaTheme="majorEastAsia"/>
          <w:lang w:val="en-US"/>
        </w:rPr>
      </w:r>
    </w:p>
    <w:p>
      <w:pPr>
        <w:pStyle w:val="Normal"/>
        <w:rPr/>
      </w:pPr>
      <w:r>
        <w:rPr/>
        <w:t>Израдом и усвајањем Локалног акционог плана за социјално укључивање Рома и Ромкиња у области становања у општини Беочин  за период 2025</w:t>
      </w:r>
      <w:r>
        <w:rPr>
          <w:lang w:val="en-US"/>
        </w:rPr>
        <w:t>.</w:t>
      </w:r>
      <w:r>
        <w:rPr/>
        <w:t xml:space="preserve">-2027. година стварају се услови за доследно спровођење дефинисаних мера и активности уз обезбеђивање потребних финансијских ресурса из буџета општине Беочин у годинама реализације локалног акционог плана. </w:t>
      </w:r>
    </w:p>
    <w:p>
      <w:pPr>
        <w:pStyle w:val="Normal"/>
        <w:rPr/>
      </w:pPr>
      <w:r>
        <w:rPr/>
        <w:t>Акциони план садржи и процену трошкова активности предвиђених предметним планом, те је неопходно вршити и адекватно планирање дефинисаних расхода по мерама и активностима у конкретним програмима буџета Општине, а ради остваривања циљева програмског буџетирања.</w:t>
      </w:r>
    </w:p>
    <w:p>
      <w:pPr>
        <w:pStyle w:val="Normal"/>
        <w:rPr/>
      </w:pPr>
      <w:r>
        <w:rPr/>
        <w:t>Један од битних фактора у постављању релације између активности, рокова и извора финансирања, била је и динамика планирања и спровођења програмских активности/пројеката финансираних из буџета, односно донаторских средстава.</w:t>
      </w:r>
    </w:p>
    <w:p>
      <w:pPr>
        <w:pStyle w:val="Normal"/>
        <w:rPr/>
      </w:pPr>
      <w:r>
        <w:rPr/>
        <w:t xml:space="preserve">У првој години (2025. година) спровођења активности предвиђају се средства за њихову реализацију на следећи начин: </w:t>
      </w:r>
      <w:r>
        <w:rPr>
          <w:b/>
        </w:rPr>
        <w:t xml:space="preserve">табела </w:t>
      </w:r>
      <w:r>
        <w:rPr>
          <w:b/>
          <w:lang w:val="en-US"/>
        </w:rPr>
        <w:t>13</w:t>
      </w:r>
      <w:r>
        <w:rPr/>
        <w:t xml:space="preserve"> садржи податке о активностима и припадајућим износима за њихово спровођење који ће бити обезбеђени из буџета јединице локалне самоуправе у 2025. години</w:t>
      </w:r>
    </w:p>
    <w:p>
      <w:pPr>
        <w:pStyle w:val="Normal"/>
        <w:rPr/>
      </w:pPr>
      <w:r>
        <w:rPr/>
      </w:r>
    </w:p>
    <w:p>
      <w:pPr>
        <w:pStyle w:val="Normal"/>
        <w:rPr>
          <w:b/>
          <w:i/>
          <w:i/>
        </w:rPr>
      </w:pPr>
      <w:r>
        <w:rPr>
          <w:b/>
          <w:i/>
        </w:rPr>
        <w:t>Табела</w:t>
      </w:r>
      <w:r>
        <w:rPr>
          <w:b/>
          <w:i/>
          <w:lang w:val="en-US"/>
        </w:rPr>
        <w:t xml:space="preserve"> 13</w:t>
      </w:r>
      <w:r>
        <w:rPr>
          <w:b/>
          <w:i/>
        </w:rPr>
        <w:t xml:space="preserve">: Средства </w:t>
      </w:r>
      <w:r>
        <w:rPr>
          <w:b/>
          <w:i/>
          <w:lang w:val="ru-RU"/>
        </w:rPr>
        <w:t>из буџета Општине  за спровођење активности ЛАП-а за социјално укључивање Рома и Ромкиња у области становања у  Беочину  у 2025. години</w:t>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tbl>
      <w:tblPr>
        <w:tblW w:w="936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00"/>
        <w:gridCol w:w="1260"/>
        <w:gridCol w:w="4928"/>
        <w:gridCol w:w="2271"/>
      </w:tblGrid>
      <w:tr>
        <w:trPr>
          <w:trHeight w:val="746" w:hRule="atLeast"/>
        </w:trPr>
        <w:tc>
          <w:tcPr>
            <w:tcW w:w="900"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center"/>
              <w:rPr>
                <w:rFonts w:eastAsia="Calibri"/>
                <w:b/>
                <w:sz w:val="20"/>
                <w:szCs w:val="20"/>
              </w:rPr>
            </w:pPr>
            <w:r>
              <w:rPr>
                <w:rFonts w:eastAsia="Calibri"/>
                <w:b/>
                <w:sz w:val="20"/>
                <w:szCs w:val="20"/>
              </w:rPr>
              <w:t>Ред.бр.</w:t>
            </w:r>
          </w:p>
        </w:tc>
        <w:tc>
          <w:tcPr>
            <w:tcW w:w="1260"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center"/>
              <w:rPr>
                <w:rFonts w:eastAsia="Calibri"/>
                <w:b/>
                <w:sz w:val="20"/>
                <w:szCs w:val="20"/>
              </w:rPr>
            </w:pPr>
            <w:r>
              <w:rPr>
                <w:rFonts w:eastAsia="Calibri"/>
                <w:b/>
                <w:sz w:val="20"/>
                <w:szCs w:val="20"/>
              </w:rPr>
              <w:t>Ознака активности</w:t>
            </w:r>
          </w:p>
        </w:tc>
        <w:tc>
          <w:tcPr>
            <w:tcW w:w="4928"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left"/>
              <w:rPr>
                <w:rFonts w:eastAsia="Calibri"/>
                <w:b/>
                <w:sz w:val="20"/>
                <w:szCs w:val="20"/>
              </w:rPr>
            </w:pPr>
            <w:r>
              <w:rPr>
                <w:rFonts w:eastAsia="Calibri"/>
                <w:b/>
                <w:sz w:val="20"/>
                <w:szCs w:val="20"/>
              </w:rPr>
              <w:t>Активност</w:t>
            </w:r>
          </w:p>
        </w:tc>
        <w:tc>
          <w:tcPr>
            <w:tcW w:w="2271"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right"/>
              <w:rPr>
                <w:rFonts w:eastAsia="Calibri"/>
                <w:b/>
                <w:sz w:val="20"/>
                <w:szCs w:val="20"/>
              </w:rPr>
            </w:pPr>
            <w:r>
              <w:rPr>
                <w:rFonts w:eastAsia="Calibri"/>
                <w:b/>
                <w:sz w:val="20"/>
                <w:szCs w:val="20"/>
              </w:rPr>
              <w:t>Финансирање из буџета општине Беочин у 2025. години</w:t>
            </w:r>
          </w:p>
        </w:tc>
      </w:tr>
      <w:tr>
        <w:trPr>
          <w:trHeight w:val="377" w:hRule="atLeast"/>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9"/>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sz w:val="20"/>
                <w:szCs w:val="20"/>
              </w:rPr>
            </w:pPr>
            <w:r>
              <w:rPr>
                <w:sz w:val="20"/>
                <w:szCs w:val="20"/>
              </w:rPr>
              <w:t>1.1.2</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rPr>
            </w:pPr>
            <w:r>
              <w:rPr>
                <w:sz w:val="20"/>
                <w:szCs w:val="20"/>
              </w:rPr>
              <w:t>Анкетно истраживање и анализа потреба ромских породица из области становања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50.000,00</w:t>
            </w:r>
          </w:p>
        </w:tc>
      </w:tr>
      <w:tr>
        <w:trPr>
          <w:trHeight w:val="323" w:hRule="atLeast"/>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9"/>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1.1.4</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rFonts w:eastAsia="Calibri"/>
                <w:sz w:val="20"/>
                <w:szCs w:val="20"/>
              </w:rPr>
            </w:pPr>
            <w:r>
              <w:rPr>
                <w:sz w:val="20"/>
                <w:szCs w:val="20"/>
              </w:rPr>
              <w:t>Одржавање састанка са локалним актерима представицима ромске заједнице ради утврђивање листе приоритета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lang w:val="sr-Latn-RS"/>
              </w:rPr>
            </w:pPr>
            <w:r>
              <w:rPr>
                <w:rFonts w:eastAsia="Calibri"/>
                <w:sz w:val="20"/>
                <w:szCs w:val="20"/>
                <w:lang w:val="sr-Latn-RS"/>
              </w:rPr>
              <w:t>25.000,00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9"/>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1.2.2</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lang w:val="sr-CS"/>
              </w:rPr>
            </w:pPr>
            <w:r>
              <w:rPr>
                <w:sz w:val="20"/>
                <w:szCs w:val="20"/>
              </w:rPr>
              <w:t>Израда пројектно-техничке документације</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lang w:val="sr-Latn-RS"/>
              </w:rPr>
            </w:pPr>
            <w:r>
              <w:rPr>
                <w:rFonts w:eastAsia="Calibri"/>
                <w:sz w:val="20"/>
                <w:szCs w:val="20"/>
                <w:lang w:val="sr-Latn-RS"/>
              </w:rPr>
              <w:t>500.000,00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9"/>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1.3.1</w:t>
            </w:r>
          </w:p>
        </w:tc>
        <w:tc>
          <w:tcPr>
            <w:tcW w:w="4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left"/>
              <w:rPr>
                <w:sz w:val="20"/>
                <w:szCs w:val="20"/>
              </w:rPr>
            </w:pPr>
            <w:r>
              <w:rPr>
                <w:sz w:val="20"/>
                <w:szCs w:val="20"/>
              </w:rPr>
              <w:t>Израда и штампа упутства за озакоњење стамбених објеката где живе Роми</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15.000,00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9"/>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1.3.2</w:t>
            </w:r>
          </w:p>
        </w:tc>
        <w:tc>
          <w:tcPr>
            <w:tcW w:w="4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left"/>
              <w:rPr>
                <w:sz w:val="20"/>
                <w:szCs w:val="20"/>
              </w:rPr>
            </w:pPr>
            <w:r>
              <w:rPr>
                <w:sz w:val="20"/>
                <w:szCs w:val="20"/>
              </w:rPr>
              <w:t>Информисање лица ромске националности о доступној бесплатној правној и техничкој помоћи у поступку озакоњења стамбених објеката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20.000,00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9"/>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1.4.1</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rPr>
            </w:pPr>
            <w:r>
              <w:rPr>
                <w:sz w:val="20"/>
                <w:szCs w:val="20"/>
              </w:rPr>
              <w:t>Унапређење инфраструктуре у насељу са реконструкцијом</w:t>
            </w:r>
            <w:r>
              <w:rPr>
                <w:rFonts w:cs="Times New Roman" w:ascii="Times New Roman" w:hAnsi="Times New Roman"/>
                <w:sz w:val="20"/>
                <w:szCs w:val="20"/>
              </w:rPr>
              <w:t xml:space="preserve"> </w:t>
            </w:r>
            <w:r>
              <w:rPr>
                <w:sz w:val="20"/>
                <w:szCs w:val="20"/>
              </w:rPr>
              <w:t>водоводне мреже, изградња електро мреже,  асфалтирање коловоза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lang w:val="en-US"/>
              </w:rPr>
            </w:pPr>
            <w:r>
              <w:rPr>
                <w:rFonts w:eastAsia="Calibri"/>
                <w:sz w:val="20"/>
                <w:szCs w:val="20"/>
                <w:lang w:val="en-US"/>
              </w:rPr>
              <w:t>500.000,00</w:t>
            </w:r>
          </w:p>
        </w:tc>
      </w:tr>
    </w:tbl>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rPr>
          <w:b/>
          <w:i/>
          <w:i/>
        </w:rPr>
      </w:pPr>
      <w:r>
        <w:rPr>
          <w:b/>
          <w:i/>
        </w:rPr>
        <w:t>Табела</w:t>
      </w:r>
      <w:r>
        <w:rPr>
          <w:b/>
          <w:i/>
          <w:lang w:val="en-US"/>
        </w:rPr>
        <w:t xml:space="preserve"> 1</w:t>
      </w:r>
      <w:r>
        <w:rPr>
          <w:b/>
          <w:i/>
        </w:rPr>
        <w:t xml:space="preserve">4: Средства </w:t>
      </w:r>
      <w:r>
        <w:rPr>
          <w:b/>
          <w:i/>
          <w:lang w:val="ru-RU"/>
        </w:rPr>
        <w:t>из буџета Општине  за спровођење активности ЛАП-а за социјално укључивање Рома и Ромкиња у области становања у  Беочину  у 2026. години</w:t>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tbl>
      <w:tblPr>
        <w:tblW w:w="936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00"/>
        <w:gridCol w:w="1260"/>
        <w:gridCol w:w="4928"/>
        <w:gridCol w:w="2271"/>
      </w:tblGrid>
      <w:tr>
        <w:trPr>
          <w:trHeight w:val="1175" w:hRule="atLeast"/>
        </w:trPr>
        <w:tc>
          <w:tcPr>
            <w:tcW w:w="900"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center"/>
              <w:rPr>
                <w:rFonts w:eastAsia="Calibri"/>
                <w:b/>
                <w:sz w:val="20"/>
                <w:szCs w:val="20"/>
              </w:rPr>
            </w:pPr>
            <w:r>
              <w:rPr>
                <w:rFonts w:eastAsia="Calibri"/>
                <w:b/>
                <w:sz w:val="20"/>
                <w:szCs w:val="20"/>
              </w:rPr>
              <w:t>Ред.бр.</w:t>
            </w:r>
          </w:p>
        </w:tc>
        <w:tc>
          <w:tcPr>
            <w:tcW w:w="1260"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center"/>
              <w:rPr>
                <w:rFonts w:eastAsia="Calibri"/>
                <w:b/>
                <w:sz w:val="20"/>
                <w:szCs w:val="20"/>
              </w:rPr>
            </w:pPr>
            <w:r>
              <w:rPr>
                <w:rFonts w:eastAsia="Calibri"/>
                <w:b/>
                <w:sz w:val="20"/>
                <w:szCs w:val="20"/>
              </w:rPr>
              <w:t>Ознака активности</w:t>
            </w:r>
          </w:p>
        </w:tc>
        <w:tc>
          <w:tcPr>
            <w:tcW w:w="4928"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left"/>
              <w:rPr>
                <w:rFonts w:eastAsia="Calibri"/>
                <w:b/>
                <w:sz w:val="20"/>
                <w:szCs w:val="20"/>
              </w:rPr>
            </w:pPr>
            <w:r>
              <w:rPr>
                <w:rFonts w:eastAsia="Calibri"/>
                <w:b/>
                <w:sz w:val="20"/>
                <w:szCs w:val="20"/>
              </w:rPr>
              <w:t>Активност</w:t>
            </w:r>
          </w:p>
        </w:tc>
        <w:tc>
          <w:tcPr>
            <w:tcW w:w="2271"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right"/>
              <w:rPr>
                <w:rFonts w:eastAsia="Calibri"/>
                <w:b/>
                <w:sz w:val="20"/>
                <w:szCs w:val="20"/>
              </w:rPr>
            </w:pPr>
            <w:r>
              <w:rPr>
                <w:rFonts w:eastAsia="Calibri"/>
                <w:b/>
                <w:sz w:val="20"/>
                <w:szCs w:val="20"/>
              </w:rPr>
              <w:t>Финансирање из буџета општине Беочин у 2026. години</w:t>
            </w:r>
          </w:p>
        </w:tc>
      </w:tr>
      <w:tr>
        <w:trPr>
          <w:trHeight w:val="377" w:hRule="atLeast"/>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color w:val="000000"/>
                <w:sz w:val="20"/>
                <w:szCs w:val="20"/>
              </w:rPr>
            </w:pPr>
            <w:r>
              <w:rPr>
                <w:color w:val="000000"/>
                <w:sz w:val="20"/>
                <w:szCs w:val="20"/>
              </w:rPr>
              <w:t>1.1.2</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color w:val="000000"/>
                <w:sz w:val="20"/>
                <w:szCs w:val="20"/>
              </w:rPr>
            </w:pPr>
            <w:r>
              <w:rPr>
                <w:sz w:val="20"/>
                <w:szCs w:val="20"/>
              </w:rPr>
              <w:t>Анкетно истраживање и анализа потреба ромских породица из области становања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50.000,00</w:t>
            </w:r>
          </w:p>
        </w:tc>
      </w:tr>
      <w:tr>
        <w:trPr>
          <w:trHeight w:val="323" w:hRule="atLeast"/>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1.1.4</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rFonts w:eastAsia="Calibri"/>
                <w:sz w:val="20"/>
                <w:szCs w:val="20"/>
              </w:rPr>
            </w:pPr>
            <w:r>
              <w:rPr>
                <w:sz w:val="20"/>
                <w:szCs w:val="20"/>
              </w:rPr>
              <w:t>Одржавање састанка са локалним актерима представицима ромске заједнице ради утврђивање листе приоритета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lang w:val="sr-Latn-RS"/>
              </w:rPr>
            </w:pPr>
            <w:r>
              <w:rPr>
                <w:rFonts w:eastAsia="Calibri"/>
                <w:sz w:val="20"/>
                <w:szCs w:val="20"/>
                <w:lang w:val="sr-Latn-RS"/>
              </w:rPr>
              <w:t>25.000,00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1.2.2</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lang w:val="sr-CS"/>
              </w:rPr>
            </w:pPr>
            <w:r>
              <w:rPr>
                <w:sz w:val="20"/>
                <w:szCs w:val="20"/>
              </w:rPr>
              <w:t>Израда пројектно-техничке документације</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lang w:val="sr-Latn-RS"/>
              </w:rPr>
            </w:pPr>
            <w:r>
              <w:rPr>
                <w:rFonts w:eastAsia="Calibri"/>
                <w:sz w:val="20"/>
                <w:szCs w:val="20"/>
                <w:lang w:val="sr-Latn-RS"/>
              </w:rPr>
              <w:t>500.000,00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1.3.1</w:t>
            </w:r>
          </w:p>
        </w:tc>
        <w:tc>
          <w:tcPr>
            <w:tcW w:w="4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left"/>
              <w:rPr>
                <w:sz w:val="20"/>
                <w:szCs w:val="20"/>
              </w:rPr>
            </w:pPr>
            <w:r>
              <w:rPr>
                <w:sz w:val="20"/>
                <w:szCs w:val="20"/>
              </w:rPr>
              <w:t>Израда и штампа упутства за озакоњење стамбених објеката где живе Роми</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15.000,00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1.3.2</w:t>
            </w:r>
          </w:p>
        </w:tc>
        <w:tc>
          <w:tcPr>
            <w:tcW w:w="4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left"/>
              <w:rPr>
                <w:sz w:val="20"/>
                <w:szCs w:val="20"/>
              </w:rPr>
            </w:pPr>
            <w:r>
              <w:rPr>
                <w:sz w:val="20"/>
                <w:szCs w:val="20"/>
              </w:rPr>
              <w:t>Информисање лица ромске националности о доступној бесплатној правној и техничкој помоћи у поступку озакоњења стамбених објеката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20.000,00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1.4.1</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rPr>
            </w:pPr>
            <w:r>
              <w:rPr>
                <w:sz w:val="20"/>
                <w:szCs w:val="20"/>
              </w:rPr>
              <w:t>Унапређење инфраструктуре у насељу са реконструкцијом</w:t>
            </w:r>
            <w:r>
              <w:rPr>
                <w:rFonts w:cs="Times New Roman" w:ascii="Times New Roman" w:hAnsi="Times New Roman"/>
                <w:sz w:val="20"/>
                <w:szCs w:val="20"/>
              </w:rPr>
              <w:t xml:space="preserve"> </w:t>
            </w:r>
            <w:r>
              <w:rPr>
                <w:sz w:val="20"/>
                <w:szCs w:val="20"/>
              </w:rPr>
              <w:t>водоводне мреже, изградња електро мреже,  асфалтирање коловоза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lang w:val="en-US"/>
              </w:rPr>
            </w:pPr>
            <w:r>
              <w:rPr>
                <w:rFonts w:eastAsia="Calibri"/>
                <w:sz w:val="20"/>
                <w:szCs w:val="20"/>
                <w:lang w:val="en-US"/>
              </w:rPr>
              <w:t>500.000,00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8"/>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1.4.3.</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rPr>
            </w:pPr>
            <w:r>
              <w:rPr>
                <w:rFonts w:eastAsia="Calibri"/>
                <w:sz w:val="20"/>
                <w:szCs w:val="20"/>
              </w:rPr>
              <w:t>Информативне радионице о подизању свести о очувању животне средине и одржавање хигијене стамбених простора и насеља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lang w:val="sr-Latn-RS"/>
              </w:rPr>
            </w:pPr>
            <w:r>
              <w:rPr>
                <w:rFonts w:eastAsia="Calibri"/>
                <w:sz w:val="20"/>
                <w:szCs w:val="20"/>
                <w:lang w:val="sr-Latn-RS"/>
              </w:rPr>
              <w:t>25.000,00</w:t>
            </w:r>
          </w:p>
        </w:tc>
      </w:tr>
    </w:tbl>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rPr>
          <w:b/>
          <w:i/>
          <w:i/>
        </w:rPr>
      </w:pPr>
      <w:r>
        <w:rPr>
          <w:b/>
          <w:i/>
        </w:rPr>
      </w:r>
    </w:p>
    <w:p>
      <w:pPr>
        <w:pStyle w:val="Normal"/>
        <w:rPr>
          <w:b/>
          <w:i/>
          <w:i/>
        </w:rPr>
      </w:pPr>
      <w:r>
        <w:rPr>
          <w:b/>
          <w:i/>
        </w:rPr>
        <w:t>Табела</w:t>
      </w:r>
      <w:r>
        <w:rPr>
          <w:b/>
          <w:i/>
          <w:lang w:val="en-US"/>
        </w:rPr>
        <w:t xml:space="preserve"> 1</w:t>
      </w:r>
      <w:r>
        <w:rPr>
          <w:b/>
          <w:i/>
        </w:rPr>
        <w:t xml:space="preserve">5: Средства </w:t>
      </w:r>
      <w:r>
        <w:rPr>
          <w:b/>
          <w:i/>
          <w:lang w:val="ru-RU"/>
        </w:rPr>
        <w:t>из буџета Општине  за спровођење активности ЛАП-а за социјално укључивање Рома и Ромкиња у области становања у  Беочину  у 2027. години</w:t>
      </w:r>
    </w:p>
    <w:p>
      <w:pPr>
        <w:pStyle w:val="Normal"/>
        <w:rPr>
          <w:b/>
          <w:i/>
          <w:i/>
        </w:rPr>
      </w:pPr>
      <w:r>
        <w:rPr>
          <w:b/>
          <w:i/>
        </w:rPr>
      </w:r>
    </w:p>
    <w:tbl>
      <w:tblPr>
        <w:tblW w:w="936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00"/>
        <w:gridCol w:w="1260"/>
        <w:gridCol w:w="4928"/>
        <w:gridCol w:w="2271"/>
      </w:tblGrid>
      <w:tr>
        <w:trPr>
          <w:trHeight w:val="1175" w:hRule="atLeast"/>
        </w:trPr>
        <w:tc>
          <w:tcPr>
            <w:tcW w:w="900"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center"/>
              <w:rPr>
                <w:rFonts w:eastAsia="Calibri"/>
                <w:b/>
                <w:sz w:val="20"/>
                <w:szCs w:val="20"/>
              </w:rPr>
            </w:pPr>
            <w:r>
              <w:rPr>
                <w:rFonts w:eastAsia="Calibri"/>
                <w:b/>
                <w:sz w:val="20"/>
                <w:szCs w:val="20"/>
              </w:rPr>
              <w:t>Ред.бр.</w:t>
            </w:r>
          </w:p>
        </w:tc>
        <w:tc>
          <w:tcPr>
            <w:tcW w:w="1260"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center"/>
              <w:rPr>
                <w:rFonts w:eastAsia="Calibri"/>
                <w:b/>
                <w:sz w:val="20"/>
                <w:szCs w:val="20"/>
              </w:rPr>
            </w:pPr>
            <w:r>
              <w:rPr>
                <w:rFonts w:eastAsia="Calibri"/>
                <w:b/>
                <w:sz w:val="20"/>
                <w:szCs w:val="20"/>
              </w:rPr>
              <w:t>Ознака активности</w:t>
            </w:r>
          </w:p>
        </w:tc>
        <w:tc>
          <w:tcPr>
            <w:tcW w:w="4928"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left"/>
              <w:rPr>
                <w:rFonts w:eastAsia="Calibri"/>
                <w:b/>
                <w:sz w:val="20"/>
                <w:szCs w:val="20"/>
              </w:rPr>
            </w:pPr>
            <w:r>
              <w:rPr>
                <w:rFonts w:eastAsia="Calibri"/>
                <w:b/>
                <w:sz w:val="20"/>
                <w:szCs w:val="20"/>
              </w:rPr>
              <w:t>Активност</w:t>
            </w:r>
          </w:p>
        </w:tc>
        <w:tc>
          <w:tcPr>
            <w:tcW w:w="2271" w:type="dxa"/>
            <w:tcBorders>
              <w:top w:val="single" w:sz="4" w:space="0" w:color="000000"/>
              <w:left w:val="single" w:sz="4" w:space="0" w:color="000000"/>
              <w:bottom w:val="single" w:sz="4" w:space="0" w:color="000000"/>
              <w:right w:val="single" w:sz="4" w:space="0" w:color="000000"/>
            </w:tcBorders>
            <w:shd w:color="auto" w:fill="9BBB59" w:themeFill="accent3" w:val="clear"/>
            <w:vAlign w:val="center"/>
          </w:tcPr>
          <w:p>
            <w:pPr>
              <w:pStyle w:val="Normal"/>
              <w:widowControl w:val="false"/>
              <w:spacing w:lineRule="auto" w:line="276" w:before="0" w:after="0"/>
              <w:jc w:val="right"/>
              <w:rPr>
                <w:rFonts w:eastAsia="Calibri"/>
                <w:b/>
                <w:sz w:val="20"/>
                <w:szCs w:val="20"/>
              </w:rPr>
            </w:pPr>
            <w:r>
              <w:rPr>
                <w:rFonts w:eastAsia="Calibri"/>
                <w:b/>
                <w:sz w:val="20"/>
                <w:szCs w:val="20"/>
              </w:rPr>
              <w:t>Финансирање из буџета општине Беочин у 2027. години</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7"/>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1.3.2</w:t>
            </w:r>
          </w:p>
        </w:tc>
        <w:tc>
          <w:tcPr>
            <w:tcW w:w="492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left"/>
              <w:rPr>
                <w:sz w:val="20"/>
                <w:szCs w:val="20"/>
              </w:rPr>
            </w:pPr>
            <w:r>
              <w:rPr>
                <w:sz w:val="20"/>
                <w:szCs w:val="20"/>
              </w:rPr>
              <w:t>Информисање лица ромске националности о доступној бесплатној правној и техничкој помоћи у поступку озакоњења стамбених објеката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right"/>
              <w:rPr>
                <w:rFonts w:eastAsia="Calibri"/>
                <w:sz w:val="20"/>
                <w:szCs w:val="20"/>
              </w:rPr>
            </w:pPr>
            <w:r>
              <w:rPr>
                <w:rFonts w:eastAsia="Calibri"/>
                <w:sz w:val="20"/>
                <w:szCs w:val="20"/>
              </w:rPr>
              <w:t>20.000,00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7"/>
              </w:numPr>
              <w:spacing w:lineRule="auto" w:line="276" w:before="0" w:after="0"/>
              <w:contextualSpacing/>
              <w:jc w:val="center"/>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1.4.1</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rPr>
            </w:pPr>
            <w:r>
              <w:rPr>
                <w:sz w:val="20"/>
                <w:szCs w:val="20"/>
              </w:rPr>
              <w:t>Унапређење инфраструктуре у насељу са реконструкцијом</w:t>
            </w:r>
            <w:r>
              <w:rPr>
                <w:rFonts w:cs="Times New Roman" w:ascii="Times New Roman" w:hAnsi="Times New Roman"/>
                <w:sz w:val="20"/>
                <w:szCs w:val="20"/>
              </w:rPr>
              <w:t xml:space="preserve"> </w:t>
            </w:r>
            <w:r>
              <w:rPr>
                <w:sz w:val="20"/>
                <w:szCs w:val="20"/>
              </w:rPr>
              <w:t>водоводне мреже, изградња електро мреже,  асфалтирање коловоза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right"/>
              <w:rPr>
                <w:rFonts w:eastAsia="Calibri"/>
                <w:sz w:val="20"/>
                <w:szCs w:val="20"/>
                <w:lang w:val="en-US"/>
              </w:rPr>
            </w:pPr>
            <w:r>
              <w:rPr>
                <w:rFonts w:eastAsia="Calibri"/>
                <w:sz w:val="20"/>
                <w:szCs w:val="20"/>
                <w:lang w:val="en-US"/>
              </w:rPr>
              <w:t>1.000.000,00</w:t>
            </w:r>
          </w:p>
        </w:tc>
      </w:tr>
      <w:tr>
        <w:trPr/>
        <w:tc>
          <w:tcPr>
            <w:tcW w:w="90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ListParagraph"/>
              <w:widowControl w:val="false"/>
              <w:numPr>
                <w:ilvl w:val="0"/>
                <w:numId w:val="17"/>
              </w:numPr>
              <w:spacing w:lineRule="auto" w:line="276" w:before="0" w:after="0"/>
              <w:contextualSpacing/>
              <w:rPr>
                <w:rFonts w:eastAsia="Calibri"/>
                <w:sz w:val="20"/>
                <w:szCs w:val="20"/>
              </w:rPr>
            </w:pPr>
            <w:r>
              <w:rPr>
                <w:rFonts w:eastAsia="Calibri"/>
                <w:sz w:val="20"/>
                <w:szCs w:val="20"/>
              </w:rPr>
            </w:r>
          </w:p>
        </w:tc>
        <w:tc>
          <w:tcPr>
            <w:tcW w:w="12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center"/>
              <w:rPr>
                <w:rFonts w:eastAsia="Calibri"/>
                <w:sz w:val="20"/>
                <w:szCs w:val="20"/>
              </w:rPr>
            </w:pPr>
            <w:r>
              <w:rPr>
                <w:rFonts w:eastAsia="Calibri"/>
                <w:sz w:val="20"/>
                <w:szCs w:val="20"/>
              </w:rPr>
              <w:t>1.4.3.</w:t>
            </w:r>
          </w:p>
        </w:tc>
        <w:tc>
          <w:tcPr>
            <w:tcW w:w="492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76" w:before="0" w:after="0"/>
              <w:jc w:val="left"/>
              <w:rPr>
                <w:sz w:val="20"/>
                <w:szCs w:val="20"/>
              </w:rPr>
            </w:pPr>
            <w:r>
              <w:rPr>
                <w:rFonts w:eastAsia="Calibri"/>
                <w:sz w:val="20"/>
                <w:szCs w:val="20"/>
              </w:rPr>
              <w:t>Информативне радионице о подизању свести о очувању животне средине и одржавање хигијене стамбених простора и насеља</w:t>
            </w:r>
          </w:p>
        </w:tc>
        <w:tc>
          <w:tcPr>
            <w:tcW w:w="227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76" w:before="0" w:after="0"/>
              <w:jc w:val="right"/>
              <w:rPr>
                <w:rFonts w:eastAsia="Calibri"/>
                <w:sz w:val="20"/>
                <w:szCs w:val="20"/>
                <w:lang w:val="sr-Latn-RS"/>
              </w:rPr>
            </w:pPr>
            <w:r>
              <w:rPr>
                <w:rFonts w:eastAsia="Calibri"/>
                <w:sz w:val="20"/>
                <w:szCs w:val="20"/>
                <w:lang w:val="sr-Latn-RS"/>
              </w:rPr>
              <w:t>25.000,00</w:t>
            </w:r>
          </w:p>
        </w:tc>
      </w:tr>
    </w:tbl>
    <w:p>
      <w:pPr>
        <w:pStyle w:val="Normal"/>
        <w:spacing w:lineRule="auto" w:line="276" w:before="0" w:after="0"/>
        <w:rPr>
          <w:rFonts w:ascii="Times New Roman" w:hAnsi="Times New Roman" w:eastAsia="Calibri" w:cs="Times New Roman"/>
        </w:rPr>
      </w:pPr>
      <w:r>
        <w:rPr>
          <w:rFonts w:eastAsia="Calibri" w:cs="Times New Roman" w:ascii="Times New Roman" w:hAnsi="Times New Roman"/>
        </w:rPr>
      </w:r>
    </w:p>
    <w:p>
      <w:pPr>
        <w:pStyle w:val="Normal"/>
        <w:rPr>
          <w:rFonts w:eastAsia="Calibri"/>
        </w:rPr>
      </w:pPr>
      <w:r>
        <w:rPr>
          <w:rFonts w:eastAsia="Calibri"/>
        </w:rPr>
        <w:t xml:space="preserve">Спровођење неких активности је, како је видљиво из Акционог плана, планирано за више година, почев од 2025. до 2027. године. Дефинисање одређеног броја активности је условљено претходним спровођењем одређених анализа, прикупљањем података, процена, стварањем базе података. </w:t>
      </w:r>
    </w:p>
    <w:p>
      <w:pPr>
        <w:pStyle w:val="Normal"/>
        <w:spacing w:lineRule="auto" w:line="276" w:before="0" w:after="0"/>
        <w:rPr>
          <w:rFonts w:ascii="Times New Roman" w:hAnsi="Times New Roman" w:cs="Times New Roman"/>
          <w:lang w:val="sr-Latn-RS"/>
        </w:rPr>
      </w:pPr>
      <w:r>
        <w:rPr>
          <w:rFonts w:cs="Times New Roman" w:ascii="Times New Roman" w:hAnsi="Times New Roman"/>
          <w:lang w:val="sr-Latn-RS"/>
        </w:rPr>
      </w:r>
    </w:p>
    <w:p>
      <w:pPr>
        <w:pStyle w:val="Normal"/>
        <w:rPr>
          <w:rFonts w:eastAsia="Calibri"/>
        </w:rPr>
      </w:pPr>
      <w:r>
        <w:rPr>
          <w:rFonts w:eastAsia="Calibri"/>
        </w:rPr>
        <w:t>Такође, у оквиру осталих извора финансирања, а имајући у виду период од три године реализације ЛАП-а, приказане су могућности аплицирања за донаторска средства. У складу са тиме, примењен је приступ да је свуда где су препознате потребе и могућности за донаторским средствима назначено финансирање из донаторских средстава.</w:t>
      </w:r>
    </w:p>
    <w:p>
      <w:pPr>
        <w:pStyle w:val="Normal"/>
        <w:rPr>
          <w:rFonts w:eastAsia="Calibri"/>
        </w:rPr>
      </w:pPr>
      <w:r>
        <w:rPr>
          <w:rFonts w:eastAsia="Calibri"/>
        </w:rPr>
      </w:r>
    </w:p>
    <w:p>
      <w:pPr>
        <w:pStyle w:val="Normal"/>
        <w:rPr>
          <w:b/>
          <w:i/>
          <w:i/>
        </w:rPr>
      </w:pPr>
      <w:r>
        <w:rPr>
          <w:b/>
          <w:i/>
        </w:rPr>
        <w:t>Табела</w:t>
      </w:r>
      <w:r>
        <w:rPr>
          <w:b/>
          <w:i/>
          <w:lang w:val="en-US"/>
        </w:rPr>
        <w:t xml:space="preserve"> 15</w:t>
      </w:r>
      <w:r>
        <w:rPr>
          <w:b/>
          <w:i/>
        </w:rPr>
        <w:t xml:space="preserve">: Средства </w:t>
      </w:r>
      <w:r>
        <w:rPr>
          <w:b/>
          <w:i/>
          <w:lang w:val="ru-RU"/>
        </w:rPr>
        <w:t xml:space="preserve">из </w:t>
      </w:r>
      <w:r>
        <w:rPr>
          <w:b/>
          <w:i/>
        </w:rPr>
        <w:t>донаторских и осталих  извора</w:t>
      </w:r>
      <w:r>
        <w:rPr>
          <w:b/>
          <w:i/>
          <w:lang w:val="ru-RU"/>
        </w:rPr>
        <w:t xml:space="preserve">  за спровођење активности ЛАП-а за социјално укључивање Рома и Ромкиња у области становања у  Беочину  од 2025. до 2027. године</w:t>
      </w:r>
    </w:p>
    <w:p>
      <w:pPr>
        <w:pStyle w:val="Normal"/>
        <w:spacing w:lineRule="auto" w:line="276" w:before="0" w:after="0"/>
        <w:rPr>
          <w:rFonts w:ascii="Times New Roman" w:hAnsi="Times New Roman" w:cs="Times New Roman"/>
          <w:sz w:val="24"/>
          <w:szCs w:val="24"/>
        </w:rPr>
      </w:pPr>
      <w:r>
        <w:rPr>
          <w:rFonts w:cs="Times New Roman" w:ascii="Times New Roman" w:hAnsi="Times New Roman"/>
          <w:sz w:val="24"/>
          <w:szCs w:val="24"/>
        </w:rPr>
      </w:r>
    </w:p>
    <w:tbl>
      <w:tblPr>
        <w:tblW w:w="9360" w:type="dxa"/>
        <w:jc w:val="left"/>
        <w:tblInd w:w="-3" w:type="dxa"/>
        <w:tblLayout w:type="fixed"/>
        <w:tblCellMar>
          <w:top w:w="0" w:type="dxa"/>
          <w:left w:w="108" w:type="dxa"/>
          <w:bottom w:w="0" w:type="dxa"/>
          <w:right w:w="108" w:type="dxa"/>
        </w:tblCellMar>
        <w:tblLook w:firstRow="0" w:noVBand="0" w:lastRow="0" w:firstColumn="0" w:lastColumn="0" w:noHBand="0" w:val="0000"/>
      </w:tblPr>
      <w:tblGrid>
        <w:gridCol w:w="1170"/>
        <w:gridCol w:w="1439"/>
        <w:gridCol w:w="4337"/>
        <w:gridCol w:w="2413"/>
      </w:tblGrid>
      <w:tr>
        <w:trPr>
          <w:tblHeader w:val="true"/>
          <w:trHeight w:val="1175" w:hRule="atLeast"/>
        </w:trPr>
        <w:tc>
          <w:tcPr>
            <w:tcW w:w="1170" w:type="dxa"/>
            <w:tcBorders>
              <w:top w:val="single" w:sz="2" w:space="0" w:color="000000"/>
              <w:left w:val="single" w:sz="2" w:space="0" w:color="000000"/>
              <w:bottom w:val="single" w:sz="2" w:space="0" w:color="000000"/>
              <w:right w:val="single" w:sz="2" w:space="0" w:color="000000"/>
            </w:tcBorders>
            <w:shd w:color="auto" w:fill="A5A5A5" w:val="clear"/>
            <w:vAlign w:val="center"/>
          </w:tcPr>
          <w:p>
            <w:pPr>
              <w:pStyle w:val="Normal"/>
              <w:widowControl w:val="false"/>
              <w:spacing w:lineRule="auto" w:line="276" w:before="0" w:after="0"/>
              <w:jc w:val="center"/>
              <w:rPr>
                <w:sz w:val="20"/>
                <w:szCs w:val="20"/>
                <w:lang w:val="en-US" w:bidi="th-TH"/>
              </w:rPr>
            </w:pPr>
            <w:r>
              <w:rPr>
                <w:b/>
                <w:bCs/>
                <w:sz w:val="20"/>
                <w:szCs w:val="20"/>
                <w:lang w:val="en-US" w:bidi="th-TH"/>
              </w:rPr>
              <w:t>Ред.бр.</w:t>
            </w:r>
          </w:p>
        </w:tc>
        <w:tc>
          <w:tcPr>
            <w:tcW w:w="1439" w:type="dxa"/>
            <w:tcBorders>
              <w:top w:val="single" w:sz="2" w:space="0" w:color="000000"/>
              <w:left w:val="single" w:sz="2" w:space="0" w:color="000000"/>
              <w:bottom w:val="single" w:sz="2" w:space="0" w:color="000000"/>
              <w:right w:val="single" w:sz="2" w:space="0" w:color="000000"/>
            </w:tcBorders>
            <w:shd w:color="auto" w:fill="A5A5A5" w:val="clear"/>
            <w:vAlign w:val="center"/>
          </w:tcPr>
          <w:p>
            <w:pPr>
              <w:pStyle w:val="Normal"/>
              <w:widowControl w:val="false"/>
              <w:spacing w:lineRule="auto" w:line="276" w:before="0" w:after="0"/>
              <w:jc w:val="center"/>
              <w:rPr>
                <w:sz w:val="20"/>
                <w:szCs w:val="20"/>
                <w:lang w:val="en-US" w:bidi="th-TH"/>
              </w:rPr>
            </w:pPr>
            <w:r>
              <w:rPr>
                <w:b/>
                <w:bCs/>
                <w:sz w:val="20"/>
                <w:szCs w:val="20"/>
                <w:lang w:val="en-US" w:bidi="th-TH"/>
              </w:rPr>
              <w:t>Ознака активности</w:t>
            </w:r>
          </w:p>
        </w:tc>
        <w:tc>
          <w:tcPr>
            <w:tcW w:w="4337" w:type="dxa"/>
            <w:tcBorders>
              <w:top w:val="single" w:sz="2" w:space="0" w:color="000000"/>
              <w:left w:val="single" w:sz="2" w:space="0" w:color="000000"/>
              <w:bottom w:val="single" w:sz="2" w:space="0" w:color="000000"/>
              <w:right w:val="single" w:sz="2" w:space="0" w:color="000000"/>
            </w:tcBorders>
            <w:shd w:color="auto" w:fill="A5A5A5" w:val="clear"/>
            <w:vAlign w:val="center"/>
          </w:tcPr>
          <w:p>
            <w:pPr>
              <w:pStyle w:val="Normal"/>
              <w:widowControl w:val="false"/>
              <w:spacing w:lineRule="auto" w:line="276" w:before="0" w:after="0"/>
              <w:jc w:val="center"/>
              <w:rPr>
                <w:sz w:val="20"/>
                <w:szCs w:val="20"/>
                <w:lang w:val="en-US" w:bidi="th-TH"/>
              </w:rPr>
            </w:pPr>
            <w:r>
              <w:rPr>
                <w:b/>
                <w:bCs/>
                <w:sz w:val="20"/>
                <w:szCs w:val="20"/>
                <w:lang w:val="en-US" w:bidi="th-TH"/>
              </w:rPr>
              <w:t>Активност</w:t>
            </w:r>
          </w:p>
        </w:tc>
        <w:tc>
          <w:tcPr>
            <w:tcW w:w="2413" w:type="dxa"/>
            <w:tcBorders>
              <w:top w:val="single" w:sz="2" w:space="0" w:color="000000"/>
              <w:left w:val="single" w:sz="2" w:space="0" w:color="000000"/>
              <w:bottom w:val="single" w:sz="2" w:space="0" w:color="000000"/>
              <w:right w:val="single" w:sz="2" w:space="0" w:color="000000"/>
            </w:tcBorders>
            <w:shd w:color="auto" w:fill="A5A5A5" w:val="clear"/>
            <w:vAlign w:val="center"/>
          </w:tcPr>
          <w:p>
            <w:pPr>
              <w:pStyle w:val="Normal"/>
              <w:widowControl w:val="false"/>
              <w:spacing w:lineRule="auto" w:line="276" w:before="0" w:after="0"/>
              <w:jc w:val="center"/>
              <w:rPr>
                <w:sz w:val="20"/>
                <w:szCs w:val="20"/>
                <w:lang w:bidi="th-TH"/>
              </w:rPr>
            </w:pPr>
            <w:r>
              <w:rPr>
                <w:b/>
                <w:bCs/>
                <w:sz w:val="20"/>
                <w:szCs w:val="20"/>
                <w:lang w:bidi="th-TH"/>
              </w:rPr>
              <w:t>Финансирање из донаторских и осталих извора од 2025. до 2027. године</w:t>
            </w:r>
          </w:p>
        </w:tc>
      </w:tr>
      <w:tr>
        <w:trPr>
          <w:trHeight w:val="377" w:hRule="atLeast"/>
        </w:trPr>
        <w:tc>
          <w:tcPr>
            <w:tcW w:w="117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sz w:val="20"/>
                <w:szCs w:val="20"/>
                <w:lang w:val="en-US" w:bidi="th-TH"/>
              </w:rPr>
              <w:t>1</w:t>
            </w:r>
          </w:p>
        </w:tc>
        <w:tc>
          <w:tcPr>
            <w:tcW w:w="1439"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color w:val="000000"/>
                <w:sz w:val="20"/>
                <w:szCs w:val="20"/>
              </w:rPr>
              <w:t>1.1.2.</w:t>
            </w:r>
          </w:p>
        </w:tc>
        <w:tc>
          <w:tcPr>
            <w:tcW w:w="43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76" w:before="0" w:after="0"/>
              <w:jc w:val="left"/>
              <w:rPr>
                <w:sz w:val="20"/>
                <w:szCs w:val="20"/>
                <w:lang w:bidi="th-TH"/>
              </w:rPr>
            </w:pPr>
            <w:r>
              <w:rPr>
                <w:sz w:val="20"/>
                <w:szCs w:val="20"/>
              </w:rPr>
              <w:t>Анкетно истраживање и анализа потреба ромских породица из области становања</w:t>
            </w:r>
          </w:p>
        </w:tc>
        <w:tc>
          <w:tcPr>
            <w:tcW w:w="2413"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sz w:val="20"/>
                <w:szCs w:val="20"/>
                <w:lang w:val="en-US" w:bidi="th-TH"/>
              </w:rPr>
              <w:t>100.000,00</w:t>
            </w:r>
          </w:p>
        </w:tc>
      </w:tr>
      <w:tr>
        <w:trPr>
          <w:trHeight w:val="1" w:hRule="atLeast"/>
        </w:trPr>
        <w:tc>
          <w:tcPr>
            <w:tcW w:w="117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bidi="th-TH"/>
              </w:rPr>
            </w:pPr>
            <w:r>
              <w:rPr>
                <w:sz w:val="20"/>
                <w:szCs w:val="20"/>
                <w:lang w:bidi="th-TH"/>
              </w:rPr>
              <w:t>4</w:t>
            </w:r>
          </w:p>
        </w:tc>
        <w:tc>
          <w:tcPr>
            <w:tcW w:w="1439"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color w:val="000000"/>
                <w:sz w:val="20"/>
                <w:szCs w:val="20"/>
              </w:rPr>
              <w:t>1.1.5</w:t>
            </w:r>
          </w:p>
        </w:tc>
        <w:tc>
          <w:tcPr>
            <w:tcW w:w="43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76" w:before="0" w:after="0"/>
              <w:jc w:val="left"/>
              <w:rPr>
                <w:sz w:val="20"/>
                <w:szCs w:val="20"/>
                <w:lang w:bidi="th-TH"/>
              </w:rPr>
            </w:pPr>
            <w:r>
              <w:rPr>
                <w:sz w:val="20"/>
                <w:szCs w:val="20"/>
              </w:rPr>
              <w:t>Израда извештаја о потрбама потреба за унапређење инфраструктуре у деловима насеља где живе Роми</w:t>
            </w:r>
          </w:p>
        </w:tc>
        <w:tc>
          <w:tcPr>
            <w:tcW w:w="2413"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bidi="th-TH"/>
              </w:rPr>
            </w:pPr>
            <w:r>
              <w:rPr>
                <w:sz w:val="20"/>
                <w:szCs w:val="20"/>
                <w:lang w:bidi="th-TH"/>
              </w:rPr>
              <w:t>300.000,00</w:t>
            </w:r>
          </w:p>
        </w:tc>
      </w:tr>
      <w:tr>
        <w:trPr>
          <w:trHeight w:val="1" w:hRule="atLeast"/>
        </w:trPr>
        <w:tc>
          <w:tcPr>
            <w:tcW w:w="117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bidi="th-TH"/>
              </w:rPr>
            </w:pPr>
            <w:r>
              <w:rPr>
                <w:sz w:val="20"/>
                <w:szCs w:val="20"/>
                <w:lang w:bidi="th-TH"/>
              </w:rPr>
              <w:t>5</w:t>
            </w:r>
          </w:p>
        </w:tc>
        <w:tc>
          <w:tcPr>
            <w:tcW w:w="1439"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color w:val="000000"/>
                <w:sz w:val="20"/>
                <w:szCs w:val="20"/>
              </w:rPr>
              <w:t>1.2.2.</w:t>
            </w:r>
          </w:p>
        </w:tc>
        <w:tc>
          <w:tcPr>
            <w:tcW w:w="43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76" w:before="0" w:after="0"/>
              <w:jc w:val="left"/>
              <w:rPr>
                <w:sz w:val="20"/>
                <w:szCs w:val="20"/>
                <w:lang w:bidi="th-TH"/>
              </w:rPr>
            </w:pPr>
            <w:r>
              <w:rPr>
                <w:sz w:val="20"/>
                <w:szCs w:val="20"/>
              </w:rPr>
              <w:t>Израда пројектно-техничке документације</w:t>
            </w:r>
          </w:p>
        </w:tc>
        <w:tc>
          <w:tcPr>
            <w:tcW w:w="2413"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sz w:val="20"/>
                <w:szCs w:val="20"/>
                <w:lang w:val="en-US" w:bidi="th-TH"/>
              </w:rPr>
              <w:t>1.500.000,00</w:t>
            </w:r>
          </w:p>
        </w:tc>
      </w:tr>
      <w:tr>
        <w:trPr>
          <w:trHeight w:val="1" w:hRule="atLeast"/>
        </w:trPr>
        <w:tc>
          <w:tcPr>
            <w:tcW w:w="117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bidi="th-TH"/>
              </w:rPr>
            </w:pPr>
            <w:r>
              <w:rPr>
                <w:sz w:val="20"/>
                <w:szCs w:val="20"/>
                <w:lang w:bidi="th-TH"/>
              </w:rPr>
              <w:t>6</w:t>
            </w:r>
          </w:p>
        </w:tc>
        <w:tc>
          <w:tcPr>
            <w:tcW w:w="1439"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color w:val="000000"/>
                <w:sz w:val="20"/>
                <w:szCs w:val="20"/>
              </w:rPr>
              <w:t>1.3.3.</w:t>
            </w:r>
          </w:p>
        </w:tc>
        <w:tc>
          <w:tcPr>
            <w:tcW w:w="43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76" w:before="0" w:after="0"/>
              <w:jc w:val="left"/>
              <w:rPr>
                <w:sz w:val="20"/>
                <w:szCs w:val="20"/>
                <w:lang w:bidi="th-TH"/>
              </w:rPr>
            </w:pPr>
            <w:r>
              <w:rPr>
                <w:sz w:val="20"/>
                <w:szCs w:val="20"/>
              </w:rPr>
              <w:t>Пружање правне и техничке помоћи лицима ромске националности у поступку озакоњења стамбених објеката</w:t>
            </w:r>
          </w:p>
        </w:tc>
        <w:tc>
          <w:tcPr>
            <w:tcW w:w="2413"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en-US" w:bidi="th-TH"/>
              </w:rPr>
            </w:pPr>
            <w:r>
              <w:rPr>
                <w:sz w:val="20"/>
                <w:szCs w:val="20"/>
                <w:lang w:bidi="th-TH"/>
              </w:rPr>
              <w:t>3</w:t>
            </w:r>
            <w:r>
              <w:rPr>
                <w:sz w:val="20"/>
                <w:szCs w:val="20"/>
                <w:lang w:val="en-US" w:bidi="th-TH"/>
              </w:rPr>
              <w:t>00.000,00</w:t>
            </w:r>
          </w:p>
        </w:tc>
      </w:tr>
      <w:tr>
        <w:trPr>
          <w:trHeight w:val="1" w:hRule="atLeast"/>
        </w:trPr>
        <w:tc>
          <w:tcPr>
            <w:tcW w:w="117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bidi="th-TH"/>
              </w:rPr>
            </w:pPr>
            <w:r>
              <w:rPr>
                <w:sz w:val="20"/>
                <w:szCs w:val="20"/>
                <w:lang w:bidi="th-TH"/>
              </w:rPr>
              <w:t>7</w:t>
            </w:r>
          </w:p>
        </w:tc>
        <w:tc>
          <w:tcPr>
            <w:tcW w:w="1439"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color w:val="000000"/>
                <w:sz w:val="20"/>
                <w:szCs w:val="20"/>
              </w:rPr>
            </w:pPr>
            <w:r>
              <w:rPr>
                <w:color w:val="000000"/>
                <w:sz w:val="20"/>
                <w:szCs w:val="20"/>
              </w:rPr>
              <w:t>1.4.2</w:t>
            </w:r>
          </w:p>
        </w:tc>
        <w:tc>
          <w:tcPr>
            <w:tcW w:w="43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76" w:before="0" w:after="0"/>
              <w:jc w:val="left"/>
              <w:rPr>
                <w:color w:val="000000"/>
                <w:sz w:val="20"/>
                <w:szCs w:val="20"/>
              </w:rPr>
            </w:pPr>
            <w:r>
              <w:rPr>
                <w:sz w:val="20"/>
                <w:szCs w:val="20"/>
              </w:rPr>
              <w:t>Санација и реконструкција објеката у ромским насељима</w:t>
            </w:r>
          </w:p>
        </w:tc>
        <w:tc>
          <w:tcPr>
            <w:tcW w:w="2413"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sr-Latn-RS" w:bidi="th-TH"/>
              </w:rPr>
            </w:pPr>
            <w:r>
              <w:rPr>
                <w:sz w:val="20"/>
                <w:szCs w:val="20"/>
                <w:lang w:val="sr-Latn-RS" w:bidi="th-TH"/>
              </w:rPr>
              <w:t>500.000,00</w:t>
            </w:r>
          </w:p>
        </w:tc>
      </w:tr>
      <w:tr>
        <w:trPr>
          <w:trHeight w:val="1" w:hRule="atLeast"/>
        </w:trPr>
        <w:tc>
          <w:tcPr>
            <w:tcW w:w="117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bidi="th-TH"/>
              </w:rPr>
            </w:pPr>
            <w:r>
              <w:rPr>
                <w:sz w:val="20"/>
                <w:szCs w:val="20"/>
                <w:lang w:bidi="th-TH"/>
              </w:rPr>
              <w:t>8</w:t>
            </w:r>
          </w:p>
        </w:tc>
        <w:tc>
          <w:tcPr>
            <w:tcW w:w="1439"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color w:val="000000"/>
                <w:sz w:val="20"/>
                <w:szCs w:val="20"/>
              </w:rPr>
            </w:pPr>
            <w:r>
              <w:rPr>
                <w:color w:val="000000"/>
                <w:sz w:val="20"/>
                <w:szCs w:val="20"/>
              </w:rPr>
              <w:t>1.4.3</w:t>
            </w:r>
          </w:p>
        </w:tc>
        <w:tc>
          <w:tcPr>
            <w:tcW w:w="43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76" w:before="0" w:after="0"/>
              <w:jc w:val="left"/>
              <w:rPr>
                <w:color w:val="000000"/>
                <w:sz w:val="20"/>
                <w:szCs w:val="20"/>
              </w:rPr>
            </w:pPr>
            <w:r>
              <w:rPr>
                <w:rFonts w:eastAsia="Calibri"/>
                <w:sz w:val="20"/>
                <w:szCs w:val="20"/>
              </w:rPr>
              <w:t>Информативне радионице о подизању свести о очувању животне средине и одржавање хигијене стамбених простора и насеља</w:t>
            </w:r>
          </w:p>
        </w:tc>
        <w:tc>
          <w:tcPr>
            <w:tcW w:w="2413"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pacing w:lineRule="auto" w:line="276" w:before="0" w:after="0"/>
              <w:jc w:val="center"/>
              <w:rPr>
                <w:sz w:val="20"/>
                <w:szCs w:val="20"/>
                <w:lang w:val="sr-Latn-RS" w:bidi="th-TH"/>
              </w:rPr>
            </w:pPr>
            <w:r>
              <w:rPr>
                <w:sz w:val="20"/>
                <w:szCs w:val="20"/>
                <w:lang w:val="sr-Latn-RS" w:bidi="th-TH"/>
              </w:rPr>
              <w:t>50.000,00</w:t>
            </w:r>
          </w:p>
        </w:tc>
      </w:tr>
      <w:tr>
        <w:trPr>
          <w:trHeight w:val="1" w:hRule="atLeast"/>
        </w:trPr>
        <w:tc>
          <w:tcPr>
            <w:tcW w:w="1170" w:type="dxa"/>
            <w:tcBorders>
              <w:top w:val="single" w:sz="2" w:space="0" w:color="000000"/>
              <w:left w:val="single" w:sz="2" w:space="0" w:color="000000"/>
              <w:bottom w:val="single" w:sz="2" w:space="0" w:color="000000"/>
              <w:right w:val="single" w:sz="2" w:space="0" w:color="000000"/>
            </w:tcBorders>
            <w:shd w:color="auto" w:fill="D9D9D9" w:val="clear"/>
            <w:vAlign w:val="center"/>
          </w:tcPr>
          <w:p>
            <w:pPr>
              <w:pStyle w:val="Normal"/>
              <w:widowControl w:val="false"/>
              <w:spacing w:lineRule="auto" w:line="276" w:before="0" w:after="0"/>
              <w:jc w:val="center"/>
              <w:rPr>
                <w:sz w:val="20"/>
                <w:szCs w:val="20"/>
                <w:lang w:val="en-US" w:bidi="th-TH"/>
              </w:rPr>
            </w:pPr>
            <w:r>
              <w:rPr>
                <w:sz w:val="20"/>
                <w:szCs w:val="20"/>
                <w:lang w:val="en-US" w:bidi="th-TH"/>
              </w:rPr>
            </w:r>
          </w:p>
        </w:tc>
        <w:tc>
          <w:tcPr>
            <w:tcW w:w="1439" w:type="dxa"/>
            <w:tcBorders>
              <w:top w:val="single" w:sz="2" w:space="0" w:color="000000"/>
              <w:left w:val="single" w:sz="2" w:space="0" w:color="000000"/>
              <w:bottom w:val="single" w:sz="2" w:space="0" w:color="000000"/>
              <w:right w:val="single" w:sz="2" w:space="0" w:color="000000"/>
            </w:tcBorders>
            <w:shd w:color="auto" w:fill="D9D9D9" w:val="clear"/>
            <w:vAlign w:val="center"/>
          </w:tcPr>
          <w:p>
            <w:pPr>
              <w:pStyle w:val="Normal"/>
              <w:widowControl w:val="false"/>
              <w:spacing w:lineRule="auto" w:line="276" w:before="0" w:after="0"/>
              <w:jc w:val="center"/>
              <w:rPr>
                <w:sz w:val="20"/>
                <w:szCs w:val="20"/>
                <w:lang w:val="en-US" w:bidi="th-TH"/>
              </w:rPr>
            </w:pPr>
            <w:r>
              <w:rPr>
                <w:sz w:val="20"/>
                <w:szCs w:val="20"/>
                <w:lang w:val="en-US" w:bidi="th-TH"/>
              </w:rPr>
            </w:r>
          </w:p>
        </w:tc>
        <w:tc>
          <w:tcPr>
            <w:tcW w:w="4337" w:type="dxa"/>
            <w:tcBorders>
              <w:top w:val="single" w:sz="2" w:space="0" w:color="000000"/>
              <w:left w:val="single" w:sz="2" w:space="0" w:color="000000"/>
              <w:bottom w:val="single" w:sz="2" w:space="0" w:color="000000"/>
              <w:right w:val="single" w:sz="2" w:space="0" w:color="000000"/>
            </w:tcBorders>
            <w:shd w:color="auto" w:fill="D9D9D9" w:val="clear"/>
            <w:vAlign w:val="center"/>
          </w:tcPr>
          <w:p>
            <w:pPr>
              <w:pStyle w:val="Normal"/>
              <w:widowControl w:val="false"/>
              <w:spacing w:lineRule="auto" w:line="276" w:before="0" w:after="0"/>
              <w:jc w:val="left"/>
              <w:rPr>
                <w:sz w:val="20"/>
                <w:szCs w:val="20"/>
                <w:lang w:val="en-US" w:bidi="th-TH"/>
              </w:rPr>
            </w:pPr>
            <w:r>
              <w:rPr>
                <w:b/>
                <w:bCs/>
                <w:sz w:val="20"/>
                <w:szCs w:val="20"/>
                <w:lang w:val="en-US" w:bidi="th-TH"/>
              </w:rPr>
              <w:t>Укупно:</w:t>
            </w:r>
          </w:p>
        </w:tc>
        <w:tc>
          <w:tcPr>
            <w:tcW w:w="2413" w:type="dxa"/>
            <w:tcBorders>
              <w:top w:val="single" w:sz="2" w:space="0" w:color="000000"/>
              <w:left w:val="single" w:sz="2" w:space="0" w:color="000000"/>
              <w:bottom w:val="single" w:sz="2" w:space="0" w:color="000000"/>
              <w:right w:val="single" w:sz="2" w:space="0" w:color="000000"/>
            </w:tcBorders>
            <w:shd w:color="auto" w:fill="D9D9D9" w:val="clear"/>
            <w:vAlign w:val="center"/>
          </w:tcPr>
          <w:p>
            <w:pPr>
              <w:pStyle w:val="Normal"/>
              <w:widowControl w:val="false"/>
              <w:spacing w:lineRule="auto" w:line="276" w:before="0" w:after="0"/>
              <w:jc w:val="center"/>
              <w:rPr>
                <w:sz w:val="20"/>
                <w:szCs w:val="20"/>
                <w:lang w:val="en-US" w:bidi="th-TH"/>
              </w:rPr>
            </w:pPr>
            <w:r>
              <w:rPr>
                <w:b/>
                <w:bCs/>
                <w:sz w:val="20"/>
                <w:szCs w:val="20"/>
                <w:lang w:val="sr-Latn-RS" w:bidi="th-TH"/>
              </w:rPr>
              <w:t>2.7</w:t>
            </w:r>
            <w:r>
              <w:rPr>
                <w:b/>
                <w:bCs/>
                <w:sz w:val="20"/>
                <w:szCs w:val="20"/>
                <w:lang w:bidi="th-TH"/>
              </w:rPr>
              <w:t>5</w:t>
            </w:r>
            <w:r>
              <w:rPr>
                <w:b/>
                <w:bCs/>
                <w:sz w:val="20"/>
                <w:szCs w:val="20"/>
                <w:lang w:val="en-US" w:bidi="th-TH"/>
              </w:rPr>
              <w:t>0.000,00</w:t>
            </w:r>
          </w:p>
        </w:tc>
      </w:tr>
    </w:tbl>
    <w:p>
      <w:pPr>
        <w:pStyle w:val="Normal"/>
        <w:spacing w:lineRule="auto" w:line="276"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rPr/>
      </w:pPr>
      <w:r>
        <w:rPr/>
        <w:t xml:space="preserve">Финансирање предвиђених мера, по предложеним активностима у оквиру појединих посебних циљева ЛАП-а потребно је обезбедити у буџету, на основу одлуке (одлука) о буџету општине а у периоду спровођења Акционог плана, тачније у периоду 2025.-2027. године. У складу са Упутством за израду програмског буџета, спровођење мера је потребно планирати као </w:t>
      </w:r>
      <w:r>
        <w:rPr>
          <w:b/>
        </w:rPr>
        <w:t>програмску активност</w:t>
      </w:r>
      <w:r>
        <w:rPr/>
        <w:t xml:space="preserve"> (текућа и континуирана делатност корисника буџета, чијим спровођењем се постижу циљеви који доприносе остварењу циљева Програма), односно као </w:t>
      </w:r>
      <w:r>
        <w:rPr>
          <w:b/>
        </w:rPr>
        <w:t>пројекат</w:t>
      </w:r>
      <w:r>
        <w:rPr/>
        <w:t xml:space="preserve">. Посматрано са аспекта области које су обухваћене ЛАП-ом, мере и активности су разложене у оквиру посебног циља. </w:t>
      </w:r>
    </w:p>
    <w:p>
      <w:pPr>
        <w:pStyle w:val="Normal"/>
        <w:rPr/>
      </w:pPr>
      <w:r>
        <w:rPr/>
      </w:r>
    </w:p>
    <w:p>
      <w:pPr>
        <w:pStyle w:val="Pasus1"/>
        <w:rPr>
          <w:rFonts w:ascii="Calibri" w:hAnsi="Calibri" w:eastAsia="Times New Roman" w:cs="Calibri" w:asciiTheme="minorHAnsi" w:cstheme="minorHAnsi" w:hAnsiTheme="minorHAnsi"/>
          <w:b/>
          <w:bCs/>
          <w:szCs w:val="22"/>
          <w:lang w:val="sr-RS"/>
        </w:rPr>
      </w:pPr>
      <w:r>
        <w:rPr>
          <w:rFonts w:eastAsia="Times New Roman" w:cs="Calibri" w:cstheme="minorHAnsi" w:ascii="Calibri" w:hAnsi="Calibri"/>
          <w:b/>
          <w:bCs/>
          <w:szCs w:val="22"/>
          <w:lang w:val="sr-RS"/>
        </w:rPr>
      </w:r>
    </w:p>
    <w:p>
      <w:pPr>
        <w:pStyle w:val="Pasus1"/>
        <w:rPr>
          <w:rFonts w:ascii="Calibri" w:hAnsi="Calibri" w:eastAsia="Times New Roman" w:cs="Calibri" w:asciiTheme="minorHAnsi" w:cstheme="minorHAnsi" w:hAnsiTheme="minorHAnsi"/>
          <w:b/>
          <w:bCs/>
          <w:szCs w:val="22"/>
          <w:lang w:val="sr-RS"/>
        </w:rPr>
      </w:pPr>
      <w:r>
        <w:rPr>
          <w:rFonts w:eastAsia="Times New Roman" w:cs="Calibri" w:ascii="Calibri" w:hAnsi="Calibri" w:asciiTheme="minorHAnsi" w:cstheme="minorHAnsi" w:hAnsiTheme="minorHAnsi"/>
          <w:b/>
          <w:bCs/>
          <w:szCs w:val="22"/>
          <w:lang w:val="sr-RS"/>
        </w:rPr>
        <w:t>Мера 1.1. Идентификовати потребе за унапређење становања и инфраструктуре у деловима насеља где живе Роми.</w:t>
      </w:r>
    </w:p>
    <w:p>
      <w:pPr>
        <w:pStyle w:val="Normal"/>
        <w:rPr>
          <w:lang w:val="en-US"/>
        </w:rPr>
      </w:pPr>
      <w:r>
        <w:rPr>
          <w:lang w:val="ru-RU"/>
        </w:rPr>
        <w:t>Већина активности у оквиру ове области/мере ће се спроводити кроз редовне активности релевантних институција и организација</w:t>
      </w:r>
      <w:r>
        <w:rPr/>
        <w:t>, у циљу унапређења становања и инфраструктуре у деловима насеља где живе Роми.</w:t>
      </w:r>
    </w:p>
    <w:p>
      <w:pPr>
        <w:pStyle w:val="Normal"/>
        <w:rPr/>
      </w:pPr>
      <w:r>
        <w:rPr/>
      </w:r>
    </w:p>
    <w:p>
      <w:pPr>
        <w:pStyle w:val="Pasus1"/>
        <w:rPr>
          <w:rFonts w:ascii="Calibri" w:hAnsi="Calibri" w:cs="Calibri" w:asciiTheme="minorHAnsi" w:cstheme="minorHAnsi" w:hAnsiTheme="minorHAnsi"/>
          <w:b/>
          <w:bCs/>
          <w:szCs w:val="22"/>
          <w:lang w:val="sr-RS"/>
        </w:rPr>
      </w:pPr>
      <w:r>
        <w:rPr>
          <w:rFonts w:eastAsia="Times New Roman" w:cs="Calibri" w:ascii="Calibri" w:hAnsi="Calibri" w:asciiTheme="minorHAnsi" w:cstheme="minorHAnsi" w:hAnsiTheme="minorHAnsi"/>
          <w:b/>
          <w:bCs/>
          <w:szCs w:val="22"/>
          <w:lang w:val="sr-RS"/>
        </w:rPr>
        <w:t>Мера 1.2.</w:t>
      </w:r>
      <w:r>
        <w:rPr>
          <w:b/>
          <w:bCs/>
          <w:u w:val="single"/>
        </w:rPr>
        <w:t xml:space="preserve"> </w:t>
      </w:r>
      <w:r>
        <w:rPr>
          <w:rFonts w:cs="Calibri" w:ascii="Calibri" w:hAnsi="Calibri" w:asciiTheme="minorHAnsi" w:cstheme="minorHAnsi" w:hAnsiTheme="minorHAnsi"/>
          <w:b/>
          <w:bCs/>
          <w:szCs w:val="22"/>
          <w:lang w:val="sr-RS"/>
        </w:rPr>
        <w:t>Израда пројектно-техничке документације за извођење недостајуће инфраструктуре у  насељима где живе Роми.</w:t>
      </w:r>
    </w:p>
    <w:p>
      <w:pPr>
        <w:pStyle w:val="Normal"/>
        <w:rPr>
          <w:lang w:val="en-US"/>
        </w:rPr>
      </w:pPr>
      <w:r>
        <w:rPr/>
        <w:t xml:space="preserve">Предложене активности ће се спроводити кроз редовне активности релевантних институција. </w:t>
      </w:r>
    </w:p>
    <w:p>
      <w:pPr>
        <w:pStyle w:val="Normal"/>
        <w:spacing w:before="0" w:after="0"/>
        <w:rPr>
          <w:lang w:val="ru-RU"/>
        </w:rPr>
      </w:pPr>
      <w:r>
        <w:rPr>
          <w:lang w:val="ru-RU"/>
        </w:rPr>
      </w:r>
    </w:p>
    <w:p>
      <w:pPr>
        <w:pStyle w:val="Normal"/>
        <w:spacing w:before="0" w:after="0"/>
        <w:rPr>
          <w:lang w:val="ru-RU"/>
        </w:rPr>
      </w:pPr>
      <w:r>
        <w:rPr>
          <w:lang w:val="ru-RU"/>
        </w:rPr>
      </w:r>
    </w:p>
    <w:p>
      <w:pPr>
        <w:pStyle w:val="Pasus1"/>
        <w:rPr>
          <w:rFonts w:ascii="Calibri" w:hAnsi="Calibri" w:eastAsia="Times New Roman" w:cs="Calibri" w:asciiTheme="minorHAnsi" w:cstheme="minorHAnsi" w:hAnsiTheme="minorHAnsi"/>
          <w:b/>
          <w:bCs/>
          <w:szCs w:val="22"/>
          <w:lang w:val="sr-RS"/>
        </w:rPr>
      </w:pPr>
      <w:r>
        <w:rPr>
          <w:rFonts w:eastAsia="Times New Roman" w:cs="Calibri" w:ascii="Calibri" w:hAnsi="Calibri" w:asciiTheme="minorHAnsi" w:cstheme="minorHAnsi" w:hAnsiTheme="minorHAnsi"/>
          <w:b/>
          <w:bCs/>
          <w:szCs w:val="22"/>
          <w:lang w:val="sr-RS"/>
        </w:rPr>
        <w:t>Мера 1.3. Обезбедити правну и техничку помоћ лицима ромске националности при решавању имовинско-правних односа у поступку озакоњења стамбених објеката.</w:t>
      </w:r>
    </w:p>
    <w:p>
      <w:pPr>
        <w:pStyle w:val="Normal"/>
        <w:spacing w:before="0" w:after="0"/>
        <w:rPr>
          <w:b/>
        </w:rPr>
      </w:pPr>
      <w:r>
        <w:rPr>
          <w:b/>
        </w:rPr>
      </w:r>
    </w:p>
    <w:p>
      <w:pPr>
        <w:pStyle w:val="Normal"/>
        <w:rPr/>
      </w:pPr>
      <w:r>
        <w:rPr>
          <w:lang w:val="ru-RU"/>
        </w:rPr>
        <w:t>Активности у оквиру ове мере ће се спроводити у сарадњи и/или у координацији са организацијама цивилног друштва које заступају интересе ромске националне заједнице (п</w:t>
      </w:r>
      <w:r>
        <w:rPr/>
        <w:t xml:space="preserve">одизање нивоа информисаности о поступку озакоњења, начинима решањања имовинско-правних односа и сл.). </w:t>
      </w:r>
    </w:p>
    <w:p>
      <w:pPr>
        <w:pStyle w:val="Normal"/>
        <w:rPr>
          <w:lang w:val="en-US"/>
        </w:rPr>
      </w:pPr>
      <w:r>
        <w:rPr>
          <w:lang w:val="ru-RU"/>
        </w:rPr>
        <w:t xml:space="preserve">За финансирање из буџета у оквиру ове мере су предвиђене активности везане за информисање о бесплатној правној помоћи као и о упутству за покретање поступка озакоњења. </w:t>
      </w:r>
    </w:p>
    <w:p>
      <w:pPr>
        <w:pStyle w:val="Normal"/>
        <w:rPr>
          <w:lang w:val="en-US"/>
        </w:rPr>
      </w:pPr>
      <w:r>
        <w:rPr>
          <w:lang w:val="en-US"/>
        </w:rPr>
      </w:r>
    </w:p>
    <w:p>
      <w:pPr>
        <w:pStyle w:val="Pasus1"/>
        <w:rPr>
          <w:rFonts w:ascii="Calibri" w:hAnsi="Calibri" w:eastAsia="Times New Roman" w:cs="Calibri" w:asciiTheme="minorHAnsi" w:cstheme="minorHAnsi" w:hAnsiTheme="minorHAnsi"/>
          <w:b/>
          <w:bCs/>
          <w:szCs w:val="22"/>
          <w:lang w:val="sr-RS"/>
        </w:rPr>
      </w:pPr>
      <w:r>
        <w:rPr>
          <w:rFonts w:eastAsia="Times New Roman" w:cs="Calibri" w:ascii="Calibri" w:hAnsi="Calibri" w:asciiTheme="minorHAnsi" w:cstheme="minorHAnsi" w:hAnsiTheme="minorHAnsi"/>
          <w:b/>
          <w:bCs/>
          <w:szCs w:val="22"/>
          <w:lang w:val="sr-RS"/>
        </w:rPr>
        <w:t>Мера 1.4. Унапређење становања и инфраструктуре у деловима насеља где живе Роми.</w:t>
      </w:r>
    </w:p>
    <w:p>
      <w:pPr>
        <w:pStyle w:val="Normal"/>
        <w:rPr/>
      </w:pPr>
      <w:r>
        <w:rPr>
          <w:lang w:val="ru-RU"/>
        </w:rPr>
        <w:t>Активности ове мере спроводиће се  у сарадњи са ЈКП и организацијама цивилног друштва, у оквиру буџета.</w:t>
      </w:r>
    </w:p>
    <w:p>
      <w:pPr>
        <w:pStyle w:val="Normal"/>
        <w:spacing w:lineRule="auto" w:line="276" w:before="0" w:after="200"/>
        <w:jc w:val="left"/>
        <w:rPr>
          <w:rFonts w:eastAsia="" w:eastAsiaTheme="majorEastAsia"/>
          <w:b/>
          <w:bCs/>
          <w:color w:val="365F91" w:themeColor="accent1" w:themeShade="bf"/>
        </w:rPr>
      </w:pPr>
      <w:r>
        <w:rPr>
          <w:rFonts w:eastAsia="" w:eastAsiaTheme="majorEastAsia"/>
          <w:b/>
          <w:bCs/>
          <w:color w:val="365F91" w:themeColor="accent1" w:themeShade="bf"/>
        </w:rPr>
      </w:r>
    </w:p>
    <w:p>
      <w:pPr>
        <w:pStyle w:val="1"/>
        <w:rPr/>
      </w:pPr>
      <w:bookmarkStart w:id="23" w:name="_Toc184550038"/>
      <w:bookmarkStart w:id="24" w:name="_Toc63410115"/>
      <w:bookmarkStart w:id="25" w:name="_Toc59721980"/>
      <w:r>
        <w:rPr/>
        <w:t>ОКВИР ЗА ПРАЋЕЊЕ СПРОВОЂЕЊА, ВРЕДНОВАЊЕ УЧИНАКА И ИЗВЕШТАВАЊЕ</w:t>
      </w:r>
      <w:bookmarkEnd w:id="23"/>
      <w:bookmarkEnd w:id="24"/>
      <w:bookmarkEnd w:id="25"/>
    </w:p>
    <w:p>
      <w:pPr>
        <w:pStyle w:val="Normal"/>
        <w:rPr/>
      </w:pPr>
      <w:r>
        <w:rPr/>
      </w:r>
    </w:p>
    <w:p>
      <w:pPr>
        <w:pStyle w:val="Normal"/>
        <w:rPr/>
      </w:pPr>
      <w:r>
        <w:rPr/>
        <w:t xml:space="preserve">У овом поглављу постављен је основ за праћење спровођења ЛАП-а, као и вредновање учинка који ће бити постигнут његовом имплементацијом, у смислу утврђивања одговорности како за реализацију конкретних мера и активности, тако и за оствареност дефинисаних циљева ЛАП-а, затим за дефинисање рокова за извештавање, модела извештаја и одговорности за њихово састављање, а такође, и начина праћења спровођења ЛАП-а и интерне комуникације међу актерима укљученим у овај процес. Сврха овог поглавља јесте да се јасном поделом улога и одговорности, као и прецизирањем поступка спровођења, мониторинга и евалуације ЛАП-а омогући, у задатим околностима, постизање оптималних резултата за ромску заједницу општине Беочин у односу на планиране циљеве, мере и активности.  </w:t>
      </w:r>
    </w:p>
    <w:p>
      <w:pPr>
        <w:pStyle w:val="Normal"/>
        <w:rPr/>
      </w:pPr>
      <w:r>
        <w:rPr/>
      </w:r>
    </w:p>
    <w:p>
      <w:pPr>
        <w:pStyle w:val="2"/>
        <w:rPr/>
      </w:pPr>
      <w:bookmarkStart w:id="26" w:name="_Toc184550039"/>
      <w:bookmarkStart w:id="27" w:name="_Toc63410116"/>
      <w:bookmarkStart w:id="28" w:name="_Toc59721981"/>
      <w:r>
        <w:rPr/>
        <w:t>Поступак спровођења и одговорност актера</w:t>
      </w:r>
      <w:bookmarkEnd w:id="26"/>
      <w:bookmarkEnd w:id="27"/>
      <w:bookmarkEnd w:id="28"/>
    </w:p>
    <w:p>
      <w:pPr>
        <w:pStyle w:val="Normal"/>
        <w:rPr/>
      </w:pPr>
      <w:r>
        <w:rPr/>
      </w:r>
    </w:p>
    <w:p>
      <w:pPr>
        <w:pStyle w:val="Normal"/>
        <w:shd w:val="clear" w:color="auto" w:fill="FFFFFF"/>
        <w:spacing w:before="0" w:after="0"/>
        <w:jc w:val="left"/>
        <w:rPr/>
      </w:pPr>
      <w:r>
        <w:rPr/>
        <w:t>ЛАП за социјално укључивање Рома и Ромкиња општине Беочин спроводи се реализацијом мера, односно пројеката и активности, утврђених у поглављу 6 - Акциони план (у даљем тексту: АП), а одговорност за спровођење имају субјекти који су у Акционом плану наведени као "носиоци", а то су сви релевантни актери у конкретној области – представници институција и организација цивилног друштва, при чему ће целокупан процес координирати Одељење за имовинске, опште и заједничке послове општинске управе Беочин.</w:t>
      </w:r>
    </w:p>
    <w:p>
      <w:pPr>
        <w:pStyle w:val="Normal"/>
        <w:shd w:val="clear" w:color="auto" w:fill="FFFFFF"/>
        <w:spacing w:before="0" w:after="0"/>
        <w:jc w:val="left"/>
        <w:rPr/>
      </w:pPr>
      <w:r>
        <w:rPr/>
        <w:t>Спровођење мера, активности и пројеката у оквиру посебног циљева ће пратити Радна група за праћење имплементације ЛАП-а, у истом саставу као и радна група за израду овог ЛАП-а. Ова Радна група ће бити формирана у року од 30 дана од усвајања овог ЛАП-а. Стручне и административне послове за потребе радне групе ће обављати  Одељење  за имовинске, опште и заједничке послове општинске управе Беочин.</w:t>
      </w:r>
    </w:p>
    <w:p>
      <w:pPr>
        <w:pStyle w:val="Normal"/>
        <w:rPr/>
      </w:pPr>
      <w:r>
        <w:rPr/>
        <w:t>У непосредној реализацији мера, активности и пројеката обухваћених АП-ом активно учествују актери који су у оквиру АП наведени као "партнери", међу којима се, између осталог, налазе организације цивилног друштва, Центар за социјални рад, Црвени крст, јавна комунална предузећа, и други.</w:t>
      </w:r>
    </w:p>
    <w:p>
      <w:pPr>
        <w:pStyle w:val="Normal"/>
        <w:rPr/>
      </w:pPr>
      <w:r>
        <w:rPr/>
        <w:t>Праћење спровођења појединачних активности и пројеката врши се преко показатеља за мерење учинака (индикатора) који су дефинисани за специфични циљ. Поступак праћења обухвата низ задатака међу којима се, између осталог, налазе:</w:t>
      </w:r>
    </w:p>
    <w:p>
      <w:pPr>
        <w:pStyle w:val="ListParagraph"/>
        <w:numPr>
          <w:ilvl w:val="0"/>
          <w:numId w:val="10"/>
        </w:numPr>
        <w:rPr/>
      </w:pPr>
      <w:r>
        <w:rPr/>
        <w:t xml:space="preserve">редовна комуникација и размена информација између свих актера укључених у реализацију ЛАП-а електронским путем, одржавањем периодичних састанака и подношењем извештаја, </w:t>
      </w:r>
    </w:p>
    <w:p>
      <w:pPr>
        <w:pStyle w:val="ListParagraph"/>
        <w:numPr>
          <w:ilvl w:val="0"/>
          <w:numId w:val="10"/>
        </w:numPr>
        <w:rPr/>
      </w:pPr>
      <w:r>
        <w:rPr/>
        <w:t>прикупљање свих података и информација о томе како тече реализација конкретних мера и активности, укључујући и формирање евиденција које до сада нису вођене, а битне су за вредновање учинка - обезбеђеност и утрошак буџетских средстава за реализацију ЛАП-а, поштовање временског оквира спровођења активности, ниво укључености партнера и квалитет сарадње између партнера, број крајњих корисника, оствареност планираних индикатора и слично,</w:t>
      </w:r>
    </w:p>
    <w:p>
      <w:pPr>
        <w:pStyle w:val="ListParagraph"/>
        <w:numPr>
          <w:ilvl w:val="0"/>
          <w:numId w:val="10"/>
        </w:numPr>
        <w:rPr/>
      </w:pPr>
      <w:r>
        <w:rPr/>
        <w:t xml:space="preserve">дефинисање превентивних мера у случају појаве ризика који могу угрозити спровођење ЛАП-а, односно, предлагање конкретних акција за решавање проблема када се они појаве и када угрозе спровођење конкретних активности и пројеката, </w:t>
      </w:r>
    </w:p>
    <w:p>
      <w:pPr>
        <w:pStyle w:val="ListParagraph"/>
        <w:numPr>
          <w:ilvl w:val="0"/>
          <w:numId w:val="10"/>
        </w:numPr>
        <w:rPr/>
      </w:pPr>
      <w:r>
        <w:rPr/>
        <w:t>информисање јавности и свих заинтересованих страна о томе како тече спровођење ЛАП-а,</w:t>
      </w:r>
    </w:p>
    <w:p>
      <w:pPr>
        <w:pStyle w:val="ListParagraph"/>
        <w:numPr>
          <w:ilvl w:val="0"/>
          <w:numId w:val="10"/>
        </w:numPr>
        <w:rPr/>
      </w:pPr>
      <w:r>
        <w:rPr/>
        <w:t xml:space="preserve">припрему и подношење годишњих и трогодишњег извештаја о реализацији ЛАП-а.      </w:t>
      </w:r>
    </w:p>
    <w:p>
      <w:pPr>
        <w:pStyle w:val="Normal"/>
        <w:shd w:val="clear" w:color="auto" w:fill="FFFFFF"/>
        <w:spacing w:before="0" w:after="0"/>
        <w:jc w:val="left"/>
        <w:rPr/>
      </w:pPr>
      <w:r>
        <w:rPr/>
        <w:t>У поступку праћења спровођења ЛАП-а најмање 2 пута годишње ће се организовати координациони састанци свих актера непосредно укључених у спровођење ЛАП-а, а састанке сазива и организује Одељење за   за имовинске, опште и заједничке послове у сарадњи са Радном групом за праћење имплементације ЛАП-а.</w:t>
      </w:r>
    </w:p>
    <w:p>
      <w:pPr>
        <w:pStyle w:val="2"/>
        <w:rPr/>
      </w:pPr>
      <w:bookmarkStart w:id="29" w:name="_Toc184550040"/>
      <w:bookmarkStart w:id="30" w:name="_Toc63410117"/>
      <w:bookmarkStart w:id="31" w:name="_Toc59721982"/>
      <w:r>
        <w:rPr/>
        <w:t>Вредновање учинка и извештавање</w:t>
      </w:r>
      <w:bookmarkEnd w:id="29"/>
      <w:bookmarkEnd w:id="30"/>
      <w:bookmarkEnd w:id="31"/>
    </w:p>
    <w:p>
      <w:pPr>
        <w:pStyle w:val="Normal"/>
        <w:rPr/>
      </w:pPr>
      <w:r>
        <w:rPr/>
      </w:r>
    </w:p>
    <w:p>
      <w:pPr>
        <w:pStyle w:val="Normal"/>
        <w:rPr/>
      </w:pPr>
      <w:r>
        <w:rPr/>
        <w:t>За разлику од мониторинга спровођења ЛАП-а који представља континуиран процес током целокупног периода на који се ЛАП усваја, евалуација односно вредновање учинка оствареног применом ЛАП-а биће периодично рађена. Вредновање учинка подразумева оцену релевантности, ефикасности, ефективности и одрживости ЛАП-а за социјално укључивање Рома и Ромкиња у циљу његовог преиспитивања и унапређења, било у процесу његове ревизије или током новог процеса стратешког планирања. Радна група за израду ЛАП-а је препоручила да евалуација обухвата:</w:t>
      </w:r>
    </w:p>
    <w:p>
      <w:pPr>
        <w:pStyle w:val="ListParagraph"/>
        <w:numPr>
          <w:ilvl w:val="0"/>
          <w:numId w:val="11"/>
        </w:numPr>
        <w:rPr/>
      </w:pPr>
      <w:r>
        <w:rPr>
          <w:i/>
          <w:iCs/>
        </w:rPr>
        <w:t xml:space="preserve">Еx-post </w:t>
      </w:r>
      <w:r>
        <w:rPr/>
        <w:t xml:space="preserve">анализу ЛАП-а за социјално укључивање Рома и Ромкиња у општини Беочин за период 2025 – 2027. године, коју ће спровести екстерно ангажовани евалуатор након истека периода важења ЛАП-а. </w:t>
      </w:r>
    </w:p>
    <w:p>
      <w:pPr>
        <w:pStyle w:val="Normal"/>
        <w:rPr/>
      </w:pPr>
      <w:r>
        <w:rPr/>
        <w:t xml:space="preserve">На основу налаза добијених </w:t>
      </w:r>
      <w:r>
        <w:rPr>
          <w:i/>
          <w:iCs/>
        </w:rPr>
        <w:t>ex-post</w:t>
      </w:r>
      <w:r>
        <w:rPr/>
        <w:t xml:space="preserve"> анализом, односно оценом релевантности, ефикасности, ефективности и одрживости спроведеног ЛАП-а, вршиће се даље планирање социјалног укључивања Рома и Ромкиња у општини Беочин у наредном трогодишњем периоду. </w:t>
      </w:r>
    </w:p>
    <w:p>
      <w:pPr>
        <w:pStyle w:val="Normal"/>
        <w:rPr>
          <w:bCs/>
        </w:rPr>
      </w:pPr>
      <w:r>
        <w:rPr>
          <w:b/>
        </w:rPr>
        <w:t>Годишњи извештај о реализацији ЛАП-а</w:t>
      </w:r>
      <w:r>
        <w:rPr>
          <w:bCs/>
        </w:rPr>
        <w:t xml:space="preserve">  општине Беочин, припрема </w:t>
      </w:r>
      <w:r>
        <w:rPr/>
        <w:t xml:space="preserve">Координатор Радне групе у сарадњи са члановима Радне групе за праћење имплементације ЛАП-а, </w:t>
      </w:r>
      <w:r>
        <w:rPr>
          <w:bCs/>
        </w:rPr>
        <w:t xml:space="preserve">и исти подноси </w:t>
      </w:r>
      <w:r>
        <w:rPr/>
        <w:t xml:space="preserve">Одељењу за имовинске, опште и заједничке послове  </w:t>
      </w:r>
      <w:r>
        <w:rPr>
          <w:bCs/>
        </w:rPr>
        <w:t xml:space="preserve">на усвајање. Након тога се годишњи извештај доставља Општинском већу општине </w:t>
      </w:r>
      <w:r>
        <w:rPr/>
        <w:t>Беочин</w:t>
      </w:r>
      <w:r>
        <w:rPr>
          <w:bCs/>
        </w:rPr>
        <w:t xml:space="preserve"> које даје сагласност на годишњи извештај најкасније до 31. марта текуће године за претходну.</w:t>
      </w:r>
    </w:p>
    <w:p>
      <w:pPr>
        <w:pStyle w:val="Normal"/>
        <w:rPr/>
      </w:pPr>
      <w:r>
        <w:rPr/>
        <w:t>Одељењу за имовинске, опште и заједничке послове Општинске управе Беочин ће пратити имплементацију мера, активности и пројеката и координирати све активности везане за имплементацију сваког посебног циља. Одељење н имовинске, опште и заједничке послове   најкасније до 31. јануара текуће године, у сарадњи са радном групом, доставља образац годишњег извештаја свим партнерима да га попуне у погледу остварених индикатора за мере, активности и пројекте у чијој реализацији су непосредно  учествовали. Рок за прикупљање података за потребе годишњег извештаја не може бити дужи од месец дана. Одељење за буџет, финансије и О</w:t>
      </w:r>
      <w:bookmarkStart w:id="32" w:name="_Hlk184549553"/>
      <w:r>
        <w:rPr/>
        <w:t xml:space="preserve">дељење за имовинске, опште и заједничке послове </w:t>
      </w:r>
      <w:bookmarkEnd w:id="32"/>
      <w:r>
        <w:rPr/>
        <w:t>ће, након добијања података, приступити обједињавању годишњег извештаја о АП за становање Рома. Након тога ће Општинско веће општине Беочин размотрити и усвојити извештај.</w:t>
      </w:r>
    </w:p>
    <w:p>
      <w:pPr>
        <w:pStyle w:val="Normal"/>
        <w:rPr>
          <w:bCs/>
        </w:rPr>
      </w:pPr>
      <w:r>
        <w:rPr>
          <w:b/>
        </w:rPr>
        <w:t>Трогодишњи извештај о реализацији ЛАП-а</w:t>
      </w:r>
      <w:r>
        <w:rPr>
          <w:bCs/>
        </w:rPr>
        <w:t xml:space="preserve"> за становање  Рома  општине Беочин за период 2025 - 2027. године, припрема Одељење </w:t>
      </w:r>
      <w:r>
        <w:rPr/>
        <w:t xml:space="preserve">за одељење за имовинске, опште и заједничке послове </w:t>
      </w:r>
      <w:r>
        <w:rPr>
          <w:bCs/>
        </w:rPr>
        <w:t xml:space="preserve">и исти подноси Општинском већу које разматра исти и доставља Скупштини Општине најкасније у  року од 120 дана по истеку треће календарске године од дана усвајања ЛАП-а. Подела одговорности и начин припреме трогодишњег извештаја су исти као и код годишњих извештаја, само се за ову прилику користи посебан образац трогодишњег извештаја. </w:t>
      </w:r>
    </w:p>
    <w:p>
      <w:pPr>
        <w:pStyle w:val="Normal"/>
        <w:rPr>
          <w:bCs/>
        </w:rPr>
      </w:pPr>
      <w:r>
        <w:rPr>
          <w:bCs/>
        </w:rPr>
      </w:r>
    </w:p>
    <w:p>
      <w:pPr>
        <w:pStyle w:val="Normal"/>
        <w:rPr>
          <w:bCs/>
        </w:rPr>
      </w:pPr>
      <w:r>
        <w:rPr>
          <w:bCs/>
        </w:rPr>
      </w:r>
    </w:p>
    <w:p>
      <w:pPr>
        <w:pStyle w:val="1"/>
        <w:spacing w:lineRule="auto" w:line="276" w:before="0" w:after="60"/>
        <w:rPr/>
      </w:pPr>
      <w:bookmarkStart w:id="33" w:name="_Toc184550041"/>
      <w:bookmarkStart w:id="34" w:name="_Toc70327802"/>
      <w:r>
        <w:rPr/>
        <w:t>ПРИЛОЗИ</w:t>
      </w:r>
      <w:bookmarkEnd w:id="33"/>
      <w:bookmarkEnd w:id="34"/>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ListParagraph"/>
        <w:numPr>
          <w:ilvl w:val="0"/>
          <w:numId w:val="13"/>
        </w:numPr>
        <w:rPr/>
      </w:pPr>
      <w:r>
        <w:rPr/>
        <w:t>Решење о формирању радне групе за израду ЛАП-а.</w:t>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p>
      <w:pPr>
        <w:pStyle w:val="Normal"/>
        <w:spacing w:lineRule="auto" w:line="276" w:before="0" w:after="200"/>
        <w:jc w:val="left"/>
        <w:rPr>
          <w:rFonts w:ascii="Cambria" w:hAnsi="Cambria" w:eastAsia="" w:cs="" w:asciiTheme="majorHAnsi" w:cstheme="majorBidi" w:eastAsiaTheme="majorEastAsia" w:hAnsiTheme="majorHAnsi"/>
          <w:b/>
          <w:bCs/>
          <w:color w:val="365F91" w:themeColor="accent1" w:themeShade="bf"/>
          <w:sz w:val="28"/>
          <w:szCs w:val="28"/>
        </w:rPr>
      </w:pPr>
      <w:r>
        <w:rPr>
          <w:rFonts w:eastAsia="" w:cs="" w:cstheme="majorBidi" w:eastAsiaTheme="majorEastAsia" w:ascii="Cambria" w:hAnsi="Cambria"/>
          <w:b/>
          <w:bCs/>
          <w:color w:val="365F91" w:themeColor="accent1" w:themeShade="bf"/>
          <w:sz w:val="28"/>
          <w:szCs w:val="28"/>
        </w:rPr>
      </w:r>
    </w:p>
    <w:sectPr>
      <w:footerReference w:type="default" r:id="rId8"/>
      <w:footerReference w:type="first" r:id="rId9"/>
      <w:type w:val="nextPage"/>
      <w:pgSz w:w="12240" w:h="15840"/>
      <w:pgMar w:left="1440" w:right="1440" w:gutter="0" w:header="0" w:top="1440" w:footer="72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Candara">
    <w:charset w:val="00"/>
    <w:family w:val="roman"/>
    <w:pitch w:val="variable"/>
  </w:font>
  <w:font w:name="Arial Narrow">
    <w:charset w:val="00"/>
    <w:family w:val="roman"/>
    <w:pitch w:val="variable"/>
  </w:font>
  <w:font w:name="Courier New">
    <w:charset w:val="01"/>
    <w:family w:val="modern"/>
    <w:pitch w:val="fixed"/>
  </w:font>
  <w:font w:name="Wingdings">
    <w:charset w:val="02"/>
    <w:family w:val="auto"/>
    <w:pitch w:val="variable"/>
  </w:font>
  <w:font w:name="Calibri">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04593182"/>
    </w:sdtPr>
    <w:sdtContent>
      <w:p>
        <w:pPr>
          <w:pStyle w:val="Style20"/>
          <w:jc w:val="right"/>
          <w:rPr/>
        </w:pPr>
        <w:r>
          <w:rPr/>
          <w:fldChar w:fldCharType="begin"/>
        </w:r>
        <w:r>
          <w:rPr/>
          <w:instrText xml:space="preserve"> PAGE </w:instrText>
        </w:r>
        <w:r>
          <w:rPr/>
          <w:fldChar w:fldCharType="separate"/>
        </w:r>
        <w:r>
          <w:rPr/>
          <w:t>18</w:t>
        </w:r>
        <w:r>
          <w:rPr/>
          <w:fldChar w:fldCharType="end"/>
        </w:r>
      </w:p>
      <w:p>
        <w:pPr>
          <w:pStyle w:val="Style20"/>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41098098"/>
    </w:sdtPr>
    <w:sdtContent>
      <w:p>
        <w:pPr>
          <w:pStyle w:val="Style20"/>
          <w:jc w:val="right"/>
          <w:rPr/>
        </w:pPr>
        <w:r>
          <w:rPr/>
          <w:fldChar w:fldCharType="begin"/>
        </w:r>
        <w:r>
          <w:rPr/>
          <w:instrText xml:space="preserve"> PAGE </w:instrText>
        </w:r>
        <w:r>
          <w:rPr/>
          <w:fldChar w:fldCharType="separate"/>
        </w:r>
        <w:r>
          <w:rPr/>
          <w:t>19</w:t>
        </w:r>
        <w:r>
          <w:rPr/>
          <w:fldChar w:fldCharType="end"/>
        </w:r>
      </w:p>
      <w:p>
        <w:pPr>
          <w:pStyle w:val="Style20"/>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22049028"/>
    </w:sdtPr>
    <w:sdtContent>
      <w:p>
        <w:pPr>
          <w:pStyle w:val="Style20"/>
          <w:jc w:val="right"/>
          <w:rPr/>
        </w:pPr>
        <w:r>
          <w:rPr/>
          <w:fldChar w:fldCharType="begin"/>
        </w:r>
        <w:r>
          <w:rPr/>
          <w:instrText xml:space="preserve"> PAGE </w:instrText>
        </w:r>
        <w:r>
          <w:rPr/>
          <w:fldChar w:fldCharType="separate"/>
        </w:r>
        <w:r>
          <w:rPr/>
          <w:t>23</w:t>
        </w:r>
        <w:r>
          <w:rPr/>
          <w:fldChar w:fldCharType="end"/>
        </w:r>
      </w:p>
      <w:p>
        <w:pPr>
          <w:pStyle w:val="Style20"/>
          <w:rPr/>
        </w:pPr>
        <w:r>
          <w:rPr/>
        </w:r>
      </w:p>
    </w:sdtContent>
  </w:sdt>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78294005"/>
    </w:sdtPr>
    <w:sdtContent>
      <w:p>
        <w:pPr>
          <w:pStyle w:val="Style20"/>
          <w:jc w:val="right"/>
          <w:rPr/>
        </w:pPr>
        <w:r>
          <w:rPr/>
          <w:fldChar w:fldCharType="begin"/>
        </w:r>
        <w:r>
          <w:rPr/>
          <w:instrText xml:space="preserve"> PAGE </w:instrText>
        </w:r>
        <w:r>
          <w:rPr/>
          <w:fldChar w:fldCharType="separate"/>
        </w:r>
        <w:r>
          <w:rPr/>
          <w:t>35</w:t>
        </w:r>
        <w:r>
          <w:rPr/>
          <w:fldChar w:fldCharType="end"/>
        </w:r>
      </w:p>
      <w:p>
        <w:pPr>
          <w:pStyle w:val="Style20"/>
          <w:rPr/>
        </w:pPr>
        <w:r>
          <w:rPr/>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decimal"/>
      <w:lvlText w:val="%1"/>
      <w:lvlJc w:val="left"/>
      <w:pPr>
        <w:tabs>
          <w:tab w:val="num" w:pos="0"/>
        </w:tabs>
        <w:ind w:left="432" w:hanging="432"/>
      </w:pPr>
      <w:rPr/>
    </w:lvl>
    <w:lvl w:ilvl="1">
      <w:start w:val="1"/>
      <w:pStyle w:val="2"/>
      <w:numFmt w:val="decimal"/>
      <w:lvlText w:val="%1.%2"/>
      <w:lvlJc w:val="left"/>
      <w:pPr>
        <w:tabs>
          <w:tab w:val="num" w:pos="0"/>
        </w:tabs>
        <w:ind w:left="576" w:hanging="576"/>
      </w:pPr>
      <w:rPr/>
    </w:lvl>
    <w:lvl w:ilvl="2">
      <w:start w:val="1"/>
      <w:pStyle w:val="3"/>
      <w:numFmt w:val="decimal"/>
      <w:lvlText w:val="%1.%2.%3"/>
      <w:lvlJc w:val="left"/>
      <w:pPr>
        <w:tabs>
          <w:tab w:val="num" w:pos="0"/>
        </w:tabs>
        <w:ind w:left="1712" w:hanging="720"/>
      </w:pPr>
      <w:rPr/>
    </w:lvl>
    <w:lvl w:ilvl="3">
      <w:start w:val="1"/>
      <w:pStyle w:val="4"/>
      <w:numFmt w:val="decimal"/>
      <w:lvlText w:val="%1.%2.%3.%4"/>
      <w:lvlJc w:val="left"/>
      <w:pPr>
        <w:tabs>
          <w:tab w:val="num" w:pos="0"/>
        </w:tabs>
        <w:ind w:left="864" w:hanging="864"/>
      </w:pPr>
      <w:rPr/>
    </w:lvl>
    <w:lvl w:ilvl="4">
      <w:start w:val="1"/>
      <w:pStyle w:val="5"/>
      <w:numFmt w:val="decimal"/>
      <w:lvlText w:val="%1.%2.%3.%4.%5"/>
      <w:lvlJc w:val="left"/>
      <w:pPr>
        <w:tabs>
          <w:tab w:val="num" w:pos="0"/>
        </w:tabs>
        <w:ind w:left="1008" w:hanging="1008"/>
      </w:pPr>
      <w:rPr/>
    </w:lvl>
    <w:lvl w:ilvl="5">
      <w:start w:val="1"/>
      <w:pStyle w:val="6"/>
      <w:numFmt w:val="decimal"/>
      <w:lvlText w:val="%1.%2.%3.%4.%5.%6"/>
      <w:lvlJc w:val="left"/>
      <w:pPr>
        <w:tabs>
          <w:tab w:val="num" w:pos="0"/>
        </w:tabs>
        <w:ind w:left="1152" w:hanging="1152"/>
      </w:pPr>
      <w:rPr/>
    </w:lvl>
    <w:lvl w:ilvl="6">
      <w:start w:val="1"/>
      <w:pStyle w:val="7"/>
      <w:numFmt w:val="decimal"/>
      <w:lvlText w:val="%1.%2.%3.%4.%5.%6.%7"/>
      <w:lvlJc w:val="left"/>
      <w:pPr>
        <w:tabs>
          <w:tab w:val="num" w:pos="0"/>
        </w:tabs>
        <w:ind w:left="1296" w:hanging="1296"/>
      </w:pPr>
      <w:rPr/>
    </w:lvl>
    <w:lvl w:ilvl="7">
      <w:start w:val="1"/>
      <w:pStyle w:val="8"/>
      <w:numFmt w:val="decimal"/>
      <w:lvlText w:val="%1.%2.%3.%4.%5.%6.%7.%8"/>
      <w:lvlJc w:val="left"/>
      <w:pPr>
        <w:tabs>
          <w:tab w:val="num" w:pos="0"/>
        </w:tabs>
        <w:ind w:left="1440" w:hanging="1440"/>
      </w:pPr>
      <w:rPr/>
    </w:lvl>
    <w:lvl w:ilvl="8">
      <w:start w:val="1"/>
      <w:pStyle w:val="9"/>
      <w:numFmt w:val="decimal"/>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rPr/>
    </w:lvl>
    <w:lvl w:ilvl="1">
      <w:start w:val="1"/>
      <w:numFmt w:val="decimal"/>
      <w:lvlText w:val="%2)"/>
      <w:lvlJc w:val="left"/>
      <w:pPr>
        <w:tabs>
          <w:tab w:val="num" w:pos="0"/>
        </w:tabs>
        <w:ind w:left="1560" w:hanging="48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decimal"/>
      <w:lvlText w:val="%1"/>
      <w:lvlJc w:val="left"/>
      <w:pPr>
        <w:tabs>
          <w:tab w:val="num" w:pos="0"/>
        </w:tabs>
        <w:ind w:left="372" w:hanging="372"/>
      </w:pPr>
      <w:rPr/>
    </w:lvl>
    <w:lvl w:ilvl="1">
      <w:start w:val="1"/>
      <w:numFmt w:val="decimal"/>
      <w:lvlText w:val="%1.%2"/>
      <w:lvlJc w:val="left"/>
      <w:pPr>
        <w:tabs>
          <w:tab w:val="num" w:pos="0"/>
        </w:tabs>
        <w:ind w:left="372" w:hanging="372"/>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bullet"/>
      <w:lvlText w:val="-"/>
      <w:lvlJc w:val="left"/>
      <w:pPr>
        <w:tabs>
          <w:tab w:val="num" w:pos="0"/>
        </w:tabs>
        <w:ind w:left="720" w:hanging="360"/>
      </w:pPr>
      <w:rPr>
        <w:rFonts w:ascii="Calibri" w:hAnsi="Calibri" w:cs="Calibri"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98"/>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704a5"/>
    <w:pPr>
      <w:widowControl/>
      <w:suppressAutoHyphens w:val="true"/>
      <w:bidi w:val="0"/>
      <w:spacing w:lineRule="auto" w:line="240" w:before="120" w:after="0"/>
      <w:jc w:val="both"/>
    </w:pPr>
    <w:rPr>
      <w:rFonts w:ascii="Calibri" w:hAnsi="Calibri" w:eastAsia="Times New Roman" w:cs="Calibri" w:cstheme="minorHAnsi"/>
      <w:color w:val="auto"/>
      <w:kern w:val="0"/>
      <w:sz w:val="22"/>
      <w:szCs w:val="22"/>
      <w:lang w:val="sr-RS" w:eastAsia="en-US" w:bidi="ar-SA"/>
    </w:rPr>
  </w:style>
  <w:style w:type="paragraph" w:styleId="1">
    <w:name w:val="Heading 1"/>
    <w:basedOn w:val="Normal"/>
    <w:next w:val="Normal"/>
    <w:link w:val="Heading1Char"/>
    <w:qFormat/>
    <w:rsid w:val="0084770b"/>
    <w:pPr>
      <w:keepNext w:val="true"/>
      <w:keepLines/>
      <w:numPr>
        <w:ilvl w:val="0"/>
        <w:numId w:val="1"/>
      </w:numPr>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nhideWhenUsed/>
    <w:qFormat/>
    <w:rsid w:val="0084770b"/>
    <w:pPr>
      <w:keepNext w:val="true"/>
      <w:keepLines/>
      <w:numPr>
        <w:ilvl w:val="1"/>
        <w:numId w:val="1"/>
      </w:numPr>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nhideWhenUsed/>
    <w:qFormat/>
    <w:rsid w:val="0084770b"/>
    <w:pPr>
      <w:keepNext w:val="true"/>
      <w:keepLines/>
      <w:numPr>
        <w:ilvl w:val="2"/>
        <w:numId w:val="1"/>
      </w:numPr>
      <w:spacing w:before="200" w:after="0"/>
      <w:ind w:left="720" w:hanging="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Heading4Char"/>
    <w:unhideWhenUsed/>
    <w:qFormat/>
    <w:rsid w:val="0084770b"/>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5">
    <w:name w:val="Heading 5"/>
    <w:basedOn w:val="Normal"/>
    <w:next w:val="Normal"/>
    <w:link w:val="Heading5Char"/>
    <w:unhideWhenUsed/>
    <w:qFormat/>
    <w:rsid w:val="0084770b"/>
    <w:pPr>
      <w:keepNext w:val="true"/>
      <w:keepLines/>
      <w:numPr>
        <w:ilvl w:val="4"/>
        <w:numId w:val="1"/>
      </w:numPr>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6">
    <w:name w:val="Heading 6"/>
    <w:basedOn w:val="Normal"/>
    <w:next w:val="Normal"/>
    <w:link w:val="Heading6Char"/>
    <w:unhideWhenUsed/>
    <w:qFormat/>
    <w:rsid w:val="0084770b"/>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paragraph" w:styleId="7">
    <w:name w:val="Heading 7"/>
    <w:basedOn w:val="Normal"/>
    <w:next w:val="Normal"/>
    <w:link w:val="Heading7Char"/>
    <w:unhideWhenUsed/>
    <w:qFormat/>
    <w:rsid w:val="0084770b"/>
    <w:pPr>
      <w:keepNext w:val="true"/>
      <w:keepLines/>
      <w:numPr>
        <w:ilvl w:val="6"/>
        <w:numId w:val="1"/>
      </w:numPr>
      <w:spacing w:before="200" w:after="0"/>
      <w:outlineLvl w:val="6"/>
    </w:pPr>
    <w:rPr>
      <w:rFonts w:ascii="Cambria" w:hAnsi="Cambria" w:eastAsia="" w:cs="" w:asciiTheme="majorHAnsi" w:cstheme="majorBidi" w:eastAsiaTheme="majorEastAsia" w:hAnsiTheme="majorHAnsi"/>
      <w:i/>
      <w:iCs/>
      <w:color w:val="404040" w:themeColor="text1" w:themeTint="bf"/>
    </w:rPr>
  </w:style>
  <w:style w:type="paragraph" w:styleId="8">
    <w:name w:val="Heading 8"/>
    <w:basedOn w:val="Normal"/>
    <w:next w:val="Normal"/>
    <w:link w:val="Heading8Char"/>
    <w:unhideWhenUsed/>
    <w:qFormat/>
    <w:rsid w:val="0084770b"/>
    <w:pPr>
      <w:keepNext w:val="true"/>
      <w:keepLines/>
      <w:numPr>
        <w:ilvl w:val="7"/>
        <w:numId w:val="1"/>
      </w:numPr>
      <w:spacing w:before="200" w:after="0"/>
      <w:outlineLvl w:val="7"/>
    </w:pPr>
    <w:rPr>
      <w:rFonts w:ascii="Cambria" w:hAnsi="Cambria" w:eastAsia="" w:cs="" w:asciiTheme="majorHAnsi" w:cstheme="majorBidi" w:eastAsiaTheme="majorEastAsia" w:hAnsiTheme="majorHAnsi"/>
      <w:color w:val="404040" w:themeColor="text1" w:themeTint="bf"/>
      <w:sz w:val="20"/>
      <w:szCs w:val="20"/>
    </w:rPr>
  </w:style>
  <w:style w:type="paragraph" w:styleId="9">
    <w:name w:val="Heading 9"/>
    <w:basedOn w:val="Normal"/>
    <w:next w:val="Normal"/>
    <w:link w:val="Heading9Char"/>
    <w:unhideWhenUsed/>
    <w:qFormat/>
    <w:rsid w:val="0084770b"/>
    <w:pPr>
      <w:keepNext w:val="true"/>
      <w:keepLines/>
      <w:numPr>
        <w:ilvl w:val="8"/>
        <w:numId w:val="1"/>
      </w:numPr>
      <w:spacing w:before="200" w:after="0"/>
      <w:outlineLvl w:val="8"/>
    </w:pPr>
    <w:rPr>
      <w:rFonts w:ascii="Cambria" w:hAnsi="Cambria"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sid w:val="0084770b"/>
    <w:rPr>
      <w:rFonts w:ascii="Cambria" w:hAnsi="Cambria" w:eastAsia="" w:cs="" w:asciiTheme="majorHAnsi" w:cstheme="majorBidi" w:eastAsiaTheme="majorEastAsia" w:hAnsiTheme="majorHAnsi"/>
      <w:b/>
      <w:bCs/>
      <w:color w:val="365F91" w:themeColor="accent1" w:themeShade="bf"/>
      <w:sz w:val="28"/>
      <w:szCs w:val="28"/>
      <w:lang w:val="sr-RS"/>
    </w:rPr>
  </w:style>
  <w:style w:type="character" w:styleId="BalloonTextChar" w:customStyle="1">
    <w:name w:val="Balloon Text Char"/>
    <w:basedOn w:val="DefaultParagraphFont"/>
    <w:link w:val="BalloonText"/>
    <w:uiPriority w:val="99"/>
    <w:semiHidden/>
    <w:qFormat/>
    <w:rsid w:val="0084770b"/>
    <w:rPr>
      <w:rFonts w:ascii="Tahoma" w:hAnsi="Tahoma" w:eastAsia="Times New Roman" w:cs="Tahoma"/>
      <w:sz w:val="16"/>
      <w:szCs w:val="16"/>
    </w:rPr>
  </w:style>
  <w:style w:type="character" w:styleId="Heading2Char" w:customStyle="1">
    <w:name w:val="Heading 2 Char"/>
    <w:basedOn w:val="DefaultParagraphFont"/>
    <w:qFormat/>
    <w:rsid w:val="0084770b"/>
    <w:rPr>
      <w:rFonts w:ascii="Cambria" w:hAnsi="Cambria" w:eastAsia="" w:cs="" w:asciiTheme="majorHAnsi" w:cstheme="majorBidi" w:eastAsiaTheme="majorEastAsia" w:hAnsiTheme="majorHAnsi"/>
      <w:b/>
      <w:bCs/>
      <w:color w:val="4F81BD" w:themeColor="accent1"/>
      <w:sz w:val="26"/>
      <w:szCs w:val="26"/>
      <w:lang w:val="sr-RS"/>
    </w:rPr>
  </w:style>
  <w:style w:type="character" w:styleId="Heading3Char" w:customStyle="1">
    <w:name w:val="Heading 3 Char"/>
    <w:basedOn w:val="DefaultParagraphFont"/>
    <w:qFormat/>
    <w:rsid w:val="0084770b"/>
    <w:rPr>
      <w:rFonts w:ascii="Cambria" w:hAnsi="Cambria" w:eastAsia="" w:cs="" w:asciiTheme="majorHAnsi" w:cstheme="majorBidi" w:eastAsiaTheme="majorEastAsia" w:hAnsiTheme="majorHAnsi"/>
      <w:b/>
      <w:bCs/>
      <w:color w:val="4F81BD" w:themeColor="accent1"/>
      <w:lang w:val="sr-RS"/>
    </w:rPr>
  </w:style>
  <w:style w:type="character" w:styleId="Heading4Char" w:customStyle="1">
    <w:name w:val="Heading 4 Char"/>
    <w:basedOn w:val="DefaultParagraphFont"/>
    <w:qFormat/>
    <w:rsid w:val="0084770b"/>
    <w:rPr>
      <w:rFonts w:ascii="Cambria" w:hAnsi="Cambria" w:eastAsia="" w:cs="" w:asciiTheme="majorHAnsi" w:cstheme="majorBidi" w:eastAsiaTheme="majorEastAsia" w:hAnsiTheme="majorHAnsi"/>
      <w:b/>
      <w:bCs/>
      <w:i/>
      <w:iCs/>
      <w:color w:val="4F81BD" w:themeColor="accent1"/>
      <w:lang w:val="sr-RS"/>
    </w:rPr>
  </w:style>
  <w:style w:type="character" w:styleId="Heading5Char" w:customStyle="1">
    <w:name w:val="Heading 5 Char"/>
    <w:basedOn w:val="DefaultParagraphFont"/>
    <w:qFormat/>
    <w:rsid w:val="0084770b"/>
    <w:rPr>
      <w:rFonts w:ascii="Cambria" w:hAnsi="Cambria" w:eastAsia="" w:cs="" w:asciiTheme="majorHAnsi" w:cstheme="majorBidi" w:eastAsiaTheme="majorEastAsia" w:hAnsiTheme="majorHAnsi"/>
      <w:color w:val="243F60" w:themeColor="accent1" w:themeShade="7f"/>
      <w:lang w:val="sr-RS"/>
    </w:rPr>
  </w:style>
  <w:style w:type="character" w:styleId="Heading6Char" w:customStyle="1">
    <w:name w:val="Heading 6 Char"/>
    <w:basedOn w:val="DefaultParagraphFont"/>
    <w:qFormat/>
    <w:rsid w:val="0084770b"/>
    <w:rPr>
      <w:rFonts w:ascii="Cambria" w:hAnsi="Cambria" w:eastAsia="" w:cs="" w:asciiTheme="majorHAnsi" w:cstheme="majorBidi" w:eastAsiaTheme="majorEastAsia" w:hAnsiTheme="majorHAnsi"/>
      <w:i/>
      <w:iCs/>
      <w:color w:val="243F60" w:themeColor="accent1" w:themeShade="7f"/>
      <w:lang w:val="sr-RS"/>
    </w:rPr>
  </w:style>
  <w:style w:type="character" w:styleId="Heading7Char" w:customStyle="1">
    <w:name w:val="Heading 7 Char"/>
    <w:basedOn w:val="DefaultParagraphFont"/>
    <w:qFormat/>
    <w:rsid w:val="0084770b"/>
    <w:rPr>
      <w:rFonts w:ascii="Cambria" w:hAnsi="Cambria" w:eastAsia="" w:cs="" w:asciiTheme="majorHAnsi" w:cstheme="majorBidi" w:eastAsiaTheme="majorEastAsia" w:hAnsiTheme="majorHAnsi"/>
      <w:i/>
      <w:iCs/>
      <w:color w:val="404040" w:themeColor="text1" w:themeTint="bf"/>
      <w:lang w:val="sr-RS"/>
    </w:rPr>
  </w:style>
  <w:style w:type="character" w:styleId="Heading8Char" w:customStyle="1">
    <w:name w:val="Heading 8 Char"/>
    <w:basedOn w:val="DefaultParagraphFont"/>
    <w:qFormat/>
    <w:rsid w:val="0084770b"/>
    <w:rPr>
      <w:rFonts w:ascii="Cambria" w:hAnsi="Cambria" w:eastAsia="" w:cs="" w:asciiTheme="majorHAnsi" w:cstheme="majorBidi" w:eastAsiaTheme="majorEastAsia" w:hAnsiTheme="majorHAnsi"/>
      <w:color w:val="404040" w:themeColor="text1" w:themeTint="bf"/>
      <w:sz w:val="20"/>
      <w:szCs w:val="20"/>
      <w:lang w:val="sr-RS"/>
    </w:rPr>
  </w:style>
  <w:style w:type="character" w:styleId="Heading9Char" w:customStyle="1">
    <w:name w:val="Heading 9 Char"/>
    <w:basedOn w:val="DefaultParagraphFont"/>
    <w:qFormat/>
    <w:rsid w:val="0084770b"/>
    <w:rPr>
      <w:rFonts w:ascii="Cambria" w:hAnsi="Cambria" w:eastAsia="" w:cs="" w:asciiTheme="majorHAnsi" w:cstheme="majorBidi" w:eastAsiaTheme="majorEastAsia" w:hAnsiTheme="majorHAnsi"/>
      <w:i/>
      <w:iCs/>
      <w:color w:val="404040" w:themeColor="text1" w:themeTint="bf"/>
      <w:sz w:val="20"/>
      <w:szCs w:val="20"/>
      <w:lang w:val="sr-RS"/>
    </w:rPr>
  </w:style>
  <w:style w:type="character" w:styleId="Style5">
    <w:name w:val="Hyperlink"/>
    <w:basedOn w:val="DefaultParagraphFont"/>
    <w:uiPriority w:val="99"/>
    <w:unhideWhenUsed/>
    <w:rsid w:val="005d15c9"/>
    <w:rPr>
      <w:color w:val="0000FF" w:themeColor="hyperlink"/>
      <w:u w:val="single"/>
    </w:rPr>
  </w:style>
  <w:style w:type="character" w:styleId="ListParagraphChar" w:customStyle="1">
    <w:name w:val="List Paragraph Char"/>
    <w:link w:val="ListParagraph"/>
    <w:uiPriority w:val="34"/>
    <w:qFormat/>
    <w:rsid w:val="005d15c9"/>
    <w:rPr>
      <w:lang w:val="sr-RS"/>
    </w:rPr>
  </w:style>
  <w:style w:type="character" w:styleId="Annotationreference">
    <w:name w:val="annotation reference"/>
    <w:basedOn w:val="DefaultParagraphFont"/>
    <w:uiPriority w:val="99"/>
    <w:semiHidden/>
    <w:unhideWhenUsed/>
    <w:qFormat/>
    <w:rsid w:val="005d15c9"/>
    <w:rPr>
      <w:sz w:val="16"/>
      <w:szCs w:val="16"/>
    </w:rPr>
  </w:style>
  <w:style w:type="character" w:styleId="CommentTextChar" w:customStyle="1">
    <w:name w:val="Comment Text Char"/>
    <w:basedOn w:val="DefaultParagraphFont"/>
    <w:link w:val="Annotationtext"/>
    <w:uiPriority w:val="99"/>
    <w:semiHidden/>
    <w:qFormat/>
    <w:rsid w:val="005d15c9"/>
    <w:rPr>
      <w:sz w:val="20"/>
      <w:szCs w:val="20"/>
      <w:lang w:val="sr-RS"/>
    </w:rPr>
  </w:style>
  <w:style w:type="character" w:styleId="CommentSubjectChar" w:customStyle="1">
    <w:name w:val="Comment Subject Char"/>
    <w:basedOn w:val="CommentTextChar"/>
    <w:link w:val="Annotationsubject"/>
    <w:uiPriority w:val="99"/>
    <w:semiHidden/>
    <w:qFormat/>
    <w:rsid w:val="005d15c9"/>
    <w:rPr>
      <w:b/>
      <w:bCs/>
      <w:sz w:val="20"/>
      <w:szCs w:val="20"/>
      <w:lang w:val="sr-RS"/>
    </w:rPr>
  </w:style>
  <w:style w:type="character" w:styleId="FootnoteTextChar" w:customStyle="1">
    <w:name w:val="Footnote Text Char"/>
    <w:basedOn w:val="DefaultParagraphFont"/>
    <w:uiPriority w:val="99"/>
    <w:qFormat/>
    <w:rsid w:val="005d15c9"/>
    <w:rPr>
      <w:sz w:val="20"/>
      <w:szCs w:val="20"/>
    </w:rPr>
  </w:style>
  <w:style w:type="character" w:styleId="Style6">
    <w:name w:val="Знакови фусноте"/>
    <w:link w:val="16PointChar1Char"/>
    <w:unhideWhenUsed/>
    <w:qFormat/>
    <w:rsid w:val="005d15c9"/>
    <w:rPr>
      <w:vertAlign w:val="superscript"/>
    </w:rPr>
  </w:style>
  <w:style w:type="character" w:styleId="FootnoteCharacters">
    <w:name w:val="Footnote Characters"/>
    <w:qFormat/>
    <w:rPr>
      <w:vertAlign w:val="superscript"/>
    </w:rPr>
  </w:style>
  <w:style w:type="character" w:styleId="Style7">
    <w:name w:val="Footnote Reference"/>
    <w:rPr>
      <w:vertAlign w:val="superscript"/>
    </w:rPr>
  </w:style>
  <w:style w:type="character" w:styleId="HeaderChar" w:customStyle="1">
    <w:name w:val="Header Char"/>
    <w:basedOn w:val="DefaultParagraphFont"/>
    <w:uiPriority w:val="99"/>
    <w:qFormat/>
    <w:rsid w:val="005d15c9"/>
    <w:rPr>
      <w:lang w:val="sr-RS"/>
    </w:rPr>
  </w:style>
  <w:style w:type="character" w:styleId="FooterChar" w:customStyle="1">
    <w:name w:val="Footer Char"/>
    <w:basedOn w:val="DefaultParagraphFont"/>
    <w:uiPriority w:val="99"/>
    <w:qFormat/>
    <w:rsid w:val="005d15c9"/>
    <w:rPr>
      <w:lang w:val="sr-RS"/>
    </w:rPr>
  </w:style>
  <w:style w:type="character" w:styleId="Style8">
    <w:name w:val="FollowedHyperlink"/>
    <w:basedOn w:val="DefaultParagraphFont"/>
    <w:uiPriority w:val="99"/>
    <w:semiHidden/>
    <w:unhideWhenUsed/>
    <w:rsid w:val="005d15c9"/>
    <w:rPr>
      <w:color w:val="800080" w:themeColor="followedHyperlink"/>
      <w:u w:val="single"/>
    </w:rPr>
  </w:style>
  <w:style w:type="character" w:styleId="BodyText3Char" w:customStyle="1">
    <w:name w:val="Body Text 3 Char"/>
    <w:basedOn w:val="DefaultParagraphFont"/>
    <w:link w:val="BodyText3"/>
    <w:uiPriority w:val="99"/>
    <w:qFormat/>
    <w:rsid w:val="00453ba1"/>
    <w:rPr>
      <w:rFonts w:ascii="Times New Roman" w:hAnsi="Times New Roman" w:eastAsia="Times New Roman" w:cs="Times New Roman"/>
      <w:sz w:val="24"/>
      <w:szCs w:val="24"/>
    </w:rPr>
  </w:style>
  <w:style w:type="character" w:styleId="UnresolvedMention1" w:customStyle="1">
    <w:name w:val="Unresolved Mention1"/>
    <w:basedOn w:val="DefaultParagraphFont"/>
    <w:uiPriority w:val="99"/>
    <w:semiHidden/>
    <w:unhideWhenUsed/>
    <w:qFormat/>
    <w:rsid w:val="0086154d"/>
    <w:rPr>
      <w:color w:val="605E5C"/>
      <w:shd w:fill="E1DFDD" w:val="clear"/>
    </w:rPr>
  </w:style>
  <w:style w:type="character" w:styleId="BodyTextIndent2Char" w:customStyle="1">
    <w:name w:val="Body Text Indent 2 Char"/>
    <w:basedOn w:val="DefaultParagraphFont"/>
    <w:link w:val="BodyTextIndent2"/>
    <w:uiPriority w:val="99"/>
    <w:semiHidden/>
    <w:qFormat/>
    <w:rsid w:val="002b3b71"/>
    <w:rPr>
      <w:rFonts w:eastAsia="Times New Roman" w:cs="Calibri" w:cstheme="minorHAnsi"/>
      <w:lang w:val="sr-RS"/>
    </w:rPr>
  </w:style>
  <w:style w:type="character" w:styleId="Style9">
    <w:name w:val="Попис веза"/>
    <w:qFormat/>
    <w:rPr/>
  </w:style>
  <w:style w:type="paragraph" w:styleId="Style10">
    <w:name w:val="Насловљавање"/>
    <w:basedOn w:val="Normal"/>
    <w:next w:val="Style11"/>
    <w:qFormat/>
    <w:pPr>
      <w:keepNext w:val="true"/>
      <w:spacing w:before="240" w:after="120"/>
    </w:pPr>
    <w:rPr>
      <w:rFonts w:ascii="Liberation Sans" w:hAnsi="Liberation Sans" w:eastAsia="Microsoft YaHei" w:cs="Arial"/>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Arial"/>
    </w:rPr>
  </w:style>
  <w:style w:type="paragraph" w:styleId="Style13">
    <w:name w:val="Caption"/>
    <w:basedOn w:val="Normal"/>
    <w:qFormat/>
    <w:pPr>
      <w:suppressLineNumbers/>
      <w:spacing w:before="120" w:after="120"/>
    </w:pPr>
    <w:rPr>
      <w:rFonts w:cs="Arial"/>
      <w:i/>
      <w:iCs/>
      <w:sz w:val="24"/>
      <w:szCs w:val="24"/>
    </w:rPr>
  </w:style>
  <w:style w:type="paragraph" w:styleId="Style14">
    <w:name w:val="Попис"/>
    <w:basedOn w:val="Normal"/>
    <w:qFormat/>
    <w:pPr>
      <w:suppressLineNumbers/>
    </w:pPr>
    <w:rPr>
      <w:rFonts w:cs="Arial"/>
    </w:rPr>
  </w:style>
  <w:style w:type="paragraph" w:styleId="11">
    <w:name w:val="TOC 1"/>
    <w:basedOn w:val="Normal"/>
    <w:next w:val="Normal"/>
    <w:autoRedefine/>
    <w:uiPriority w:val="39"/>
    <w:rsid w:val="00463fc7"/>
    <w:pPr>
      <w:tabs>
        <w:tab w:val="clear" w:pos="720"/>
        <w:tab w:val="left" w:pos="440" w:leader="none"/>
        <w:tab w:val="right" w:pos="9530" w:leader="underscore"/>
      </w:tabs>
      <w:jc w:val="center"/>
    </w:pPr>
    <w:rPr>
      <w:rFonts w:eastAsia="" w:eastAsiaTheme="majorEastAsia"/>
      <w:b/>
      <w:iCs/>
    </w:rPr>
  </w:style>
  <w:style w:type="paragraph" w:styleId="Style15">
    <w:name w:val="Index Heading"/>
    <w:basedOn w:val="Style10"/>
    <w:pPr/>
    <w:rPr/>
  </w:style>
  <w:style w:type="paragraph" w:styleId="Style16">
    <w:name w:val="TOC Heading"/>
    <w:basedOn w:val="1"/>
    <w:next w:val="Normal"/>
    <w:uiPriority w:val="39"/>
    <w:unhideWhenUsed/>
    <w:qFormat/>
    <w:rsid w:val="0084770b"/>
    <w:pPr>
      <w:numPr>
        <w:ilvl w:val="0"/>
        <w:numId w:val="0"/>
      </w:numPr>
      <w:spacing w:lineRule="auto" w:line="276"/>
      <w:outlineLvl w:val="9"/>
    </w:pPr>
    <w:rPr>
      <w:lang w:eastAsia="ja-JP"/>
    </w:rPr>
  </w:style>
  <w:style w:type="paragraph" w:styleId="BalloonText">
    <w:name w:val="Balloon Text"/>
    <w:basedOn w:val="Normal"/>
    <w:link w:val="BalloonTextChar"/>
    <w:uiPriority w:val="99"/>
    <w:semiHidden/>
    <w:unhideWhenUsed/>
    <w:qFormat/>
    <w:rsid w:val="0084770b"/>
    <w:pPr/>
    <w:rPr>
      <w:rFonts w:ascii="Tahoma" w:hAnsi="Tahoma" w:cs="Tahoma"/>
      <w:sz w:val="16"/>
      <w:szCs w:val="16"/>
    </w:rPr>
  </w:style>
  <w:style w:type="paragraph" w:styleId="ListParagraph">
    <w:name w:val="List Paragraph"/>
    <w:basedOn w:val="Normal"/>
    <w:link w:val="ListParagraphChar"/>
    <w:uiPriority w:val="34"/>
    <w:qFormat/>
    <w:rsid w:val="005d15c9"/>
    <w:pPr>
      <w:spacing w:before="120" w:after="0"/>
      <w:ind w:left="720" w:hanging="0"/>
      <w:contextualSpacing/>
    </w:pPr>
    <w:rPr>
      <w:rFonts w:eastAsia="Calibri" w:cs="" w:cstheme="minorBidi" w:eastAsiaTheme="minorHAnsi"/>
    </w:rPr>
  </w:style>
  <w:style w:type="paragraph" w:styleId="Default" w:customStyle="1">
    <w:name w:val="Default"/>
    <w:qFormat/>
    <w:rsid w:val="005d15c9"/>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en-US" w:eastAsia="en-US" w:bidi="ar-SA"/>
    </w:rPr>
  </w:style>
  <w:style w:type="paragraph" w:styleId="Annotationtext">
    <w:name w:val="annotation text"/>
    <w:basedOn w:val="Normal"/>
    <w:link w:val="CommentTextChar"/>
    <w:uiPriority w:val="99"/>
    <w:semiHidden/>
    <w:unhideWhenUsed/>
    <w:qFormat/>
    <w:rsid w:val="005d15c9"/>
    <w:pPr/>
    <w:rPr>
      <w:rFonts w:eastAsia="Calibri" w:cs="" w:cstheme="minorBidi" w:eastAsiaTheme="minorHAnsi"/>
      <w:sz w:val="20"/>
      <w:szCs w:val="20"/>
    </w:rPr>
  </w:style>
  <w:style w:type="paragraph" w:styleId="Annotationsubject">
    <w:name w:val="annotation subject"/>
    <w:basedOn w:val="Annotationtext"/>
    <w:next w:val="Annotationtext"/>
    <w:link w:val="CommentSubjectChar"/>
    <w:uiPriority w:val="99"/>
    <w:semiHidden/>
    <w:unhideWhenUsed/>
    <w:qFormat/>
    <w:rsid w:val="005d15c9"/>
    <w:pPr/>
    <w:rPr>
      <w:b/>
      <w:bCs/>
    </w:rPr>
  </w:style>
  <w:style w:type="paragraph" w:styleId="Style17">
    <w:name w:val="Footnote Text"/>
    <w:basedOn w:val="Normal"/>
    <w:link w:val="FootnoteTextChar"/>
    <w:uiPriority w:val="99"/>
    <w:unhideWhenUsed/>
    <w:rsid w:val="005d15c9"/>
    <w:pPr>
      <w:spacing w:before="0" w:after="0"/>
      <w:jc w:val="left"/>
    </w:pPr>
    <w:rPr>
      <w:rFonts w:eastAsia="Calibri" w:cs="" w:cstheme="minorBidi" w:eastAsiaTheme="minorHAnsi"/>
      <w:sz w:val="20"/>
      <w:szCs w:val="20"/>
      <w:lang w:val="en-US"/>
    </w:rPr>
  </w:style>
  <w:style w:type="paragraph" w:styleId="Style18">
    <w:name w:val="Заглавље и подножје"/>
    <w:basedOn w:val="Normal"/>
    <w:qFormat/>
    <w:pPr/>
    <w:rPr/>
  </w:style>
  <w:style w:type="paragraph" w:styleId="Style19">
    <w:name w:val="Header"/>
    <w:basedOn w:val="Normal"/>
    <w:link w:val="HeaderChar"/>
    <w:uiPriority w:val="99"/>
    <w:unhideWhenUsed/>
    <w:rsid w:val="005d15c9"/>
    <w:pPr>
      <w:tabs>
        <w:tab w:val="clear" w:pos="720"/>
        <w:tab w:val="center" w:pos="4680" w:leader="none"/>
        <w:tab w:val="right" w:pos="9360" w:leader="none"/>
      </w:tabs>
      <w:spacing w:before="0" w:after="0"/>
    </w:pPr>
    <w:rPr>
      <w:rFonts w:eastAsia="Calibri" w:cs="" w:cstheme="minorBidi" w:eastAsiaTheme="minorHAnsi"/>
    </w:rPr>
  </w:style>
  <w:style w:type="paragraph" w:styleId="Style20">
    <w:name w:val="Footer"/>
    <w:basedOn w:val="Normal"/>
    <w:link w:val="FooterChar"/>
    <w:uiPriority w:val="99"/>
    <w:unhideWhenUsed/>
    <w:rsid w:val="005d15c9"/>
    <w:pPr>
      <w:tabs>
        <w:tab w:val="clear" w:pos="720"/>
        <w:tab w:val="center" w:pos="4680" w:leader="none"/>
        <w:tab w:val="right" w:pos="9360" w:leader="none"/>
      </w:tabs>
      <w:spacing w:before="0" w:after="0"/>
    </w:pPr>
    <w:rPr>
      <w:rFonts w:eastAsia="Calibri" w:cs="" w:cstheme="minorBidi" w:eastAsiaTheme="minorHAnsi"/>
    </w:rPr>
  </w:style>
  <w:style w:type="paragraph" w:styleId="21">
    <w:name w:val="TOC 2"/>
    <w:basedOn w:val="Normal"/>
    <w:next w:val="Normal"/>
    <w:autoRedefine/>
    <w:uiPriority w:val="39"/>
    <w:unhideWhenUsed/>
    <w:rsid w:val="005d15c9"/>
    <w:pPr>
      <w:spacing w:before="120" w:after="100"/>
      <w:ind w:left="220" w:hanging="0"/>
    </w:pPr>
    <w:rPr/>
  </w:style>
  <w:style w:type="paragraph" w:styleId="31">
    <w:name w:val="TOC 3"/>
    <w:basedOn w:val="Normal"/>
    <w:next w:val="Normal"/>
    <w:autoRedefine/>
    <w:uiPriority w:val="39"/>
    <w:unhideWhenUsed/>
    <w:rsid w:val="00760f94"/>
    <w:pPr>
      <w:spacing w:before="120" w:after="100"/>
      <w:ind w:left="440" w:hanging="0"/>
    </w:pPr>
    <w:rPr/>
  </w:style>
  <w:style w:type="paragraph" w:styleId="BodyText3">
    <w:name w:val="Body Text 3"/>
    <w:basedOn w:val="Normal"/>
    <w:link w:val="BodyText3Char"/>
    <w:uiPriority w:val="99"/>
    <w:qFormat/>
    <w:rsid w:val="00453ba1"/>
    <w:pPr>
      <w:spacing w:before="0" w:after="120"/>
      <w:jc w:val="left"/>
    </w:pPr>
    <w:rPr>
      <w:rFonts w:ascii="Times New Roman" w:hAnsi="Times New Roman" w:cs="Times New Roman"/>
      <w:sz w:val="24"/>
      <w:szCs w:val="24"/>
      <w:lang w:val="en-US"/>
    </w:rPr>
  </w:style>
  <w:style w:type="paragraph" w:styleId="16PointChar1Char" w:customStyle="1">
    <w:name w:val="16 Point Char1 Char"/>
    <w:basedOn w:val="Normal"/>
    <w:qFormat/>
    <w:rsid w:val="00ab33a8"/>
    <w:pPr>
      <w:spacing w:lineRule="exact" w:line="240" w:before="0" w:after="160"/>
      <w:jc w:val="left"/>
    </w:pPr>
    <w:rPr>
      <w:rFonts w:eastAsia="Calibri" w:cs="" w:cstheme="minorBidi" w:eastAsiaTheme="minorHAnsi"/>
      <w:vertAlign w:val="superscript"/>
      <w:lang w:val="en-US"/>
    </w:rPr>
  </w:style>
  <w:style w:type="paragraph" w:styleId="Pasus1" w:customStyle="1">
    <w:name w:val="Pasus 1"/>
    <w:basedOn w:val="Normal"/>
    <w:uiPriority w:val="99"/>
    <w:qFormat/>
    <w:rsid w:val="00605e27"/>
    <w:pPr>
      <w:spacing w:before="80" w:after="80"/>
    </w:pPr>
    <w:rPr>
      <w:rFonts w:ascii="Candara" w:hAnsi="Candara" w:eastAsia="Calibri" w:cs="Arial"/>
      <w:szCs w:val="24"/>
      <w:lang w:val="uz-Cyrl-UZ"/>
    </w:rPr>
  </w:style>
  <w:style w:type="paragraph" w:styleId="BodyTextIndent2">
    <w:name w:val="Body Text Indent 2"/>
    <w:basedOn w:val="Normal"/>
    <w:link w:val="BodyTextIndent2Char"/>
    <w:uiPriority w:val="99"/>
    <w:semiHidden/>
    <w:unhideWhenUsed/>
    <w:qFormat/>
    <w:rsid w:val="002b3b71"/>
    <w:pPr>
      <w:spacing w:lineRule="auto" w:line="480" w:before="120" w:after="120"/>
      <w:ind w:left="283" w:hanging="0"/>
    </w:pPr>
    <w:rPr/>
  </w:style>
  <w:style w:type="paragraph" w:styleId="41">
    <w:name w:val="TOC 4"/>
    <w:basedOn w:val="Style14"/>
    <w:pPr/>
    <w:rPr/>
  </w:style>
  <w:style w:type="paragraph" w:styleId="51">
    <w:name w:val="TOC 5"/>
    <w:basedOn w:val="Style14"/>
    <w:pPr/>
    <w:rPr/>
  </w:style>
  <w:style w:type="paragraph" w:styleId="61">
    <w:name w:val="TOC 6"/>
    <w:basedOn w:val="Style14"/>
    <w:pPr/>
    <w:rPr/>
  </w:style>
  <w:style w:type="paragraph" w:styleId="71">
    <w:name w:val="TOC 7"/>
    <w:basedOn w:val="Style14"/>
    <w:pPr/>
    <w:rPr/>
  </w:style>
  <w:style w:type="paragraph" w:styleId="81">
    <w:name w:val="TOC 8"/>
    <w:basedOn w:val="Style14"/>
    <w:pPr/>
    <w:rPr/>
  </w:style>
  <w:style w:type="paragraph" w:styleId="91">
    <w:name w:val="TOC 9"/>
    <w:basedOn w:val="Style14"/>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5d15c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5Dark-Accent1">
    <w:name w:val="Grid Table 5 Dark Accent 1"/>
    <w:basedOn w:val="TableNormal"/>
    <w:uiPriority w:val="50"/>
    <w:rsid w:val="00132673"/>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eGridLight">
    <w:name w:val="Grid Table Light"/>
    <w:basedOn w:val="TableNormal"/>
    <w:uiPriority w:val="40"/>
    <w:rsid w:val="00132673"/>
    <w:pPr>
      <w:spacing w:after="0" w:line="240" w:lineRule="auto"/>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Pr>
  </w:style>
  <w:style w:type="table" w:styleId="GridTable1Light-Accent1">
    <w:name w:val="Grid Table 1 Light Accent 1"/>
    <w:basedOn w:val="TableNormal"/>
    <w:uiPriority w:val="46"/>
    <w:rsid w:val="00eb5cab"/>
    <w:pPr>
      <w:spacing w:after="0" w:line="240" w:lineRule="auto"/>
    </w:pPr>
    <w:tblPr>
      <w:tblStyleRowBandSize w:val="1"/>
      <w:tblStyleColBandSize w:val="1"/>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blPr/>
      <w:tcPr>
        <w:tcBorders>
          <w:bottom w:val="single" w:color="95B3D7" w:themeColor="accent1" w:sz="12" w:space="0"/>
        </w:tcBorders>
      </w:tcPr>
    </w:tblStylePr>
    <w:tblStylePr w:type="lastRow">
      <w:rPr>
        <w:b/>
        <w:bCs/>
      </w:rPr>
      <w:tblPr/>
      <w:tcPr>
        <w:tcBorders>
          <w:top w:val="double" w:color="95B3D7" w:themeColor="accent1" w:sz="2" w:space="0"/>
        </w:tcBorders>
      </w:tcPr>
    </w:tblStylePr>
    <w:tblStylePr w:type="firstCol">
      <w:rPr>
        <w:b/>
        <w:bCs/>
      </w:rPr>
      <w:tblPr/>
    </w:tblStylePr>
    <w:tblStylePr w:type="lastCol">
      <w:rPr>
        <w:b/>
        <w:bCs/>
      </w:rPr>
      <w:tblPr/>
    </w:tblStylePr>
  </w:style>
  <w:style w:type="table" w:customStyle="1" w:styleId="TableGrid1">
    <w:name w:val="Table Grid1"/>
    <w:basedOn w:val="TableNormal"/>
    <w:uiPriority w:val="59"/>
    <w:rsid w:val="00e95b2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oter" Target="footer4.xml"/><Relationship Id="rId7" Type="http://schemas.openxmlformats.org/officeDocument/2006/relationships/footer" Target="footer5.xml"/><Relationship Id="rId8" Type="http://schemas.openxmlformats.org/officeDocument/2006/relationships/footer" Target="footer6.xml"/><Relationship Id="rId9" Type="http://schemas.openxmlformats.org/officeDocument/2006/relationships/footer" Target="footer7.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F300B-4B62-4C2C-B180-BA09D0A46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Application>LibreOffice/7.5.6.2$Windows_X86_64 LibreOffice_project/f654817fb68d6d4600d7d2f6b647e47729f55f15</Application>
  <AppVersion>15.0000</AppVersion>
  <Pages>28</Pages>
  <Words>9693</Words>
  <Characters>58382</Characters>
  <CharactersWithSpaces>67273</CharactersWithSpaces>
  <Paragraphs>875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2024-12-23T13:51:00Z</dcterms:created>
  <dc:creator>Rafael Pupovac</dc:creator>
  <dc:description/>
  <dc:language>en-US</dc:language>
  <cp:lastModifiedBy/>
  <dcterms:modified xsi:type="dcterms:W3CDTF">2025-02-03T14:38:37Z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